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5C4" w:rsidRPr="00DF5EEB" w:rsidRDefault="002F31D1">
      <w:pPr>
        <w:rPr>
          <w:rFonts w:ascii="仿宋" w:eastAsia="仿宋" w:hAnsi="仿宋" w:cs="仿宋"/>
          <w:b/>
          <w:bCs/>
          <w:sz w:val="32"/>
          <w:szCs w:val="32"/>
        </w:rPr>
      </w:pPr>
      <w:r w:rsidRPr="00DF5EEB">
        <w:rPr>
          <w:rFonts w:ascii="仿宋" w:eastAsia="仿宋" w:hAnsi="仿宋" w:cs="仿宋" w:hint="eastAsia"/>
          <w:b/>
          <w:bCs/>
          <w:sz w:val="32"/>
          <w:szCs w:val="32"/>
        </w:rPr>
        <w:t>附件：</w:t>
      </w:r>
    </w:p>
    <w:p w:rsidR="002625C4" w:rsidRPr="00DF5EEB" w:rsidRDefault="002F31D1">
      <w:pPr>
        <w:jc w:val="center"/>
      </w:pPr>
      <w:r w:rsidRPr="00DF5EEB">
        <w:rPr>
          <w:rFonts w:ascii="仿宋" w:eastAsia="仿宋" w:hAnsi="仿宋" w:cs="仿宋" w:hint="eastAsia"/>
          <w:b/>
          <w:bCs/>
          <w:sz w:val="36"/>
          <w:szCs w:val="36"/>
        </w:rPr>
        <w:t>广西培贤国际职业学院</w:t>
      </w:r>
      <w:r w:rsidR="00FB4626">
        <w:rPr>
          <w:rFonts w:ascii="仿宋" w:eastAsia="仿宋" w:hAnsi="仿宋" w:cs="仿宋" w:hint="eastAsia"/>
          <w:b/>
          <w:bCs/>
          <w:sz w:val="36"/>
          <w:szCs w:val="36"/>
        </w:rPr>
        <w:t>高铁实训室</w:t>
      </w:r>
      <w:r w:rsidRPr="00DF5EEB">
        <w:rPr>
          <w:rFonts w:ascii="仿宋" w:eastAsia="仿宋" w:hAnsi="仿宋" w:cs="仿宋" w:hint="eastAsia"/>
          <w:b/>
          <w:bCs/>
          <w:sz w:val="36"/>
          <w:szCs w:val="36"/>
        </w:rPr>
        <w:t>设备采购及安装项目报价单</w:t>
      </w:r>
    </w:p>
    <w:p w:rsidR="002625C4" w:rsidRPr="00DF5EEB" w:rsidRDefault="002F31D1">
      <w:pPr>
        <w:jc w:val="center"/>
        <w:rPr>
          <w:rFonts w:ascii="仿宋" w:eastAsia="仿宋" w:hAnsi="仿宋" w:cs="仿宋"/>
          <w:b/>
          <w:bCs/>
          <w:sz w:val="24"/>
        </w:rPr>
      </w:pPr>
      <w:r w:rsidRPr="00DF5EEB">
        <w:rPr>
          <w:rFonts w:ascii="仿宋" w:eastAsia="仿宋" w:hAnsi="仿宋" w:cs="仿宋" w:hint="eastAsia"/>
          <w:b/>
          <w:bCs/>
          <w:sz w:val="24"/>
        </w:rPr>
        <w:t>项目编号：</w:t>
      </w:r>
      <w:r w:rsidR="00FB4626">
        <w:rPr>
          <w:rFonts w:ascii="仿宋" w:eastAsia="仿宋" w:hAnsi="仿宋" w:cs="仿宋" w:hint="eastAsia"/>
          <w:b/>
          <w:bCs/>
          <w:sz w:val="24"/>
        </w:rPr>
        <w:t>GXPXGJZYXY-2019-03</w:t>
      </w:r>
    </w:p>
    <w:p w:rsidR="00C478E2" w:rsidRPr="00C478E2" w:rsidRDefault="002F31D1" w:rsidP="00C478E2">
      <w:pPr>
        <w:jc w:val="center"/>
        <w:rPr>
          <w:rFonts w:ascii="仿宋" w:eastAsia="仿宋" w:hAnsi="仿宋" w:cs="仿宋"/>
          <w:b/>
          <w:bCs/>
          <w:sz w:val="24"/>
        </w:rPr>
      </w:pPr>
      <w:r w:rsidRPr="00090F1A">
        <w:rPr>
          <w:rFonts w:ascii="仿宋" w:eastAsia="仿宋" w:hAnsi="仿宋" w:cs="仿宋" w:hint="eastAsia"/>
          <w:b/>
          <w:bCs/>
          <w:sz w:val="24"/>
        </w:rPr>
        <w:t>预算金额：</w:t>
      </w:r>
      <w:r w:rsidR="00090F1A" w:rsidRPr="00090F1A">
        <w:rPr>
          <w:rFonts w:ascii="仿宋" w:eastAsia="仿宋" w:hAnsi="仿宋" w:cs="仿宋" w:hint="eastAsia"/>
          <w:b/>
          <w:bCs/>
          <w:sz w:val="24"/>
        </w:rPr>
        <w:t>贰</w:t>
      </w:r>
      <w:r w:rsidRPr="00090F1A">
        <w:rPr>
          <w:rFonts w:ascii="仿宋" w:eastAsia="仿宋" w:hAnsi="仿宋" w:cs="仿宋" w:hint="eastAsia"/>
          <w:b/>
          <w:bCs/>
          <w:sz w:val="24"/>
        </w:rPr>
        <w:t>拾</w:t>
      </w:r>
      <w:r w:rsidR="00090F1A" w:rsidRPr="00090F1A">
        <w:rPr>
          <w:rFonts w:ascii="仿宋" w:eastAsia="仿宋" w:hAnsi="仿宋" w:cs="仿宋" w:hint="eastAsia"/>
          <w:b/>
          <w:bCs/>
          <w:sz w:val="24"/>
        </w:rPr>
        <w:t>伍</w:t>
      </w:r>
      <w:r w:rsidRPr="00090F1A">
        <w:rPr>
          <w:rFonts w:ascii="仿宋" w:eastAsia="仿宋" w:hAnsi="仿宋" w:cs="仿宋" w:hint="eastAsia"/>
          <w:b/>
          <w:bCs/>
          <w:sz w:val="24"/>
        </w:rPr>
        <w:t>万</w:t>
      </w:r>
      <w:r w:rsidR="00090F1A" w:rsidRPr="00090F1A">
        <w:rPr>
          <w:rFonts w:ascii="仿宋" w:eastAsia="仿宋" w:hAnsi="仿宋" w:cs="仿宋" w:hint="eastAsia"/>
          <w:b/>
          <w:bCs/>
          <w:sz w:val="24"/>
        </w:rPr>
        <w:t>贰仟玖佰伍拾</w:t>
      </w:r>
      <w:r w:rsidRPr="00090F1A">
        <w:rPr>
          <w:rFonts w:ascii="仿宋" w:eastAsia="仿宋" w:hAnsi="仿宋" w:cs="仿宋" w:hint="eastAsia"/>
          <w:b/>
          <w:bCs/>
          <w:sz w:val="24"/>
        </w:rPr>
        <w:t>元整（</w:t>
      </w:r>
      <w:r w:rsidR="00090F1A" w:rsidRPr="00090F1A">
        <w:rPr>
          <w:rFonts w:ascii="宋体" w:hAnsi="宋体" w:cs="宋体" w:hint="eastAsia"/>
          <w:b/>
          <w:bCs/>
          <w:sz w:val="24"/>
        </w:rPr>
        <w:t>¥</w:t>
      </w:r>
      <w:r w:rsidR="00090F1A" w:rsidRPr="00090F1A">
        <w:rPr>
          <w:rFonts w:ascii="仿宋" w:eastAsia="仿宋" w:hAnsi="仿宋" w:cs="仿宋"/>
          <w:b/>
          <w:bCs/>
          <w:sz w:val="24"/>
        </w:rPr>
        <w:t>250</w:t>
      </w:r>
      <w:r w:rsidR="00C478E2">
        <w:rPr>
          <w:rFonts w:ascii="仿宋" w:eastAsia="仿宋" w:hAnsi="仿宋" w:cs="仿宋" w:hint="eastAsia"/>
          <w:b/>
          <w:bCs/>
          <w:sz w:val="24"/>
        </w:rPr>
        <w:t>000</w:t>
      </w:r>
      <w:r w:rsidRPr="00090F1A">
        <w:rPr>
          <w:rFonts w:ascii="仿宋" w:eastAsia="仿宋" w:hAnsi="仿宋" w:cs="仿宋" w:hint="eastAsia"/>
          <w:b/>
          <w:bCs/>
          <w:sz w:val="24"/>
        </w:rPr>
        <w:t>.00）</w:t>
      </w:r>
    </w:p>
    <w:tbl>
      <w:tblPr>
        <w:tblW w:w="27278" w:type="dxa"/>
        <w:tblInd w:w="108" w:type="dxa"/>
        <w:tblLook w:val="04A0" w:firstRow="1" w:lastRow="0" w:firstColumn="1" w:lastColumn="0" w:noHBand="0" w:noVBand="1"/>
      </w:tblPr>
      <w:tblGrid>
        <w:gridCol w:w="709"/>
        <w:gridCol w:w="1701"/>
        <w:gridCol w:w="709"/>
        <w:gridCol w:w="709"/>
        <w:gridCol w:w="850"/>
        <w:gridCol w:w="3402"/>
        <w:gridCol w:w="1264"/>
        <w:gridCol w:w="1134"/>
        <w:gridCol w:w="2570"/>
        <w:gridCol w:w="1460"/>
        <w:gridCol w:w="170"/>
        <w:gridCol w:w="4030"/>
        <w:gridCol w:w="170"/>
        <w:gridCol w:w="4030"/>
        <w:gridCol w:w="170"/>
        <w:gridCol w:w="4200"/>
      </w:tblGrid>
      <w:tr w:rsidR="009912C0" w:rsidRPr="00090F1A" w:rsidTr="00C478E2">
        <w:trPr>
          <w:gridAfter w:val="8"/>
          <w:wAfter w:w="16800" w:type="dxa"/>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2C0" w:rsidRPr="00090F1A" w:rsidRDefault="009912C0" w:rsidP="00C478E2">
            <w:pPr>
              <w:jc w:val="center"/>
            </w:pPr>
            <w:r w:rsidRPr="00090F1A">
              <w:rPr>
                <w:rFonts w:hint="eastAsia"/>
              </w:rPr>
              <w:t>序号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2C0" w:rsidRPr="00090F1A" w:rsidRDefault="009912C0" w:rsidP="00C478E2">
            <w:pPr>
              <w:jc w:val="center"/>
              <w:rPr>
                <w:b/>
                <w:bCs/>
              </w:rPr>
            </w:pPr>
            <w:r w:rsidRPr="00090F1A">
              <w:rPr>
                <w:rFonts w:hint="eastAsia"/>
                <w:b/>
                <w:bCs/>
              </w:rPr>
              <w:t>设备名称</w:t>
            </w:r>
          </w:p>
        </w:tc>
        <w:tc>
          <w:tcPr>
            <w:tcW w:w="709" w:type="dxa"/>
            <w:tcBorders>
              <w:top w:val="single" w:sz="8" w:space="0" w:color="auto"/>
              <w:left w:val="single" w:sz="4" w:space="0" w:color="auto"/>
              <w:bottom w:val="nil"/>
              <w:right w:val="single" w:sz="8" w:space="0" w:color="auto"/>
            </w:tcBorders>
            <w:shd w:val="clear" w:color="auto" w:fill="auto"/>
            <w:vAlign w:val="center"/>
            <w:hideMark/>
          </w:tcPr>
          <w:p w:rsidR="009912C0" w:rsidRPr="00090F1A" w:rsidRDefault="009912C0" w:rsidP="00C478E2">
            <w:pPr>
              <w:jc w:val="center"/>
              <w:rPr>
                <w:b/>
                <w:bCs/>
              </w:rPr>
            </w:pPr>
            <w:r w:rsidRPr="00090F1A">
              <w:rPr>
                <w:rFonts w:hint="eastAsia"/>
                <w:b/>
                <w:bCs/>
              </w:rPr>
              <w:t>数量</w:t>
            </w:r>
          </w:p>
        </w:tc>
        <w:tc>
          <w:tcPr>
            <w:tcW w:w="709" w:type="dxa"/>
            <w:tcBorders>
              <w:top w:val="single" w:sz="8" w:space="0" w:color="auto"/>
              <w:left w:val="nil"/>
              <w:bottom w:val="nil"/>
              <w:right w:val="single" w:sz="4" w:space="0" w:color="auto"/>
            </w:tcBorders>
            <w:shd w:val="clear" w:color="auto" w:fill="auto"/>
            <w:vAlign w:val="center"/>
            <w:hideMark/>
          </w:tcPr>
          <w:p w:rsidR="009912C0" w:rsidRPr="00090F1A" w:rsidRDefault="009912C0" w:rsidP="00C478E2">
            <w:pPr>
              <w:jc w:val="center"/>
            </w:pPr>
            <w:r>
              <w:rPr>
                <w:rFonts w:hint="eastAsia"/>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9912C0" w:rsidRDefault="009912C0" w:rsidP="00C478E2">
            <w:pPr>
              <w:widowControl/>
              <w:jc w:val="center"/>
              <w:textAlignment w:val="center"/>
              <w:rPr>
                <w:rFonts w:ascii="仿宋" w:eastAsia="仿宋" w:hAnsi="仿宋" w:cs="仿宋"/>
                <w:b/>
                <w:color w:val="000000"/>
                <w:kern w:val="0"/>
                <w:szCs w:val="21"/>
              </w:rPr>
            </w:pPr>
            <w:r>
              <w:rPr>
                <w:rFonts w:ascii="仿宋" w:eastAsia="仿宋" w:hAnsi="仿宋" w:cs="仿宋" w:hint="eastAsia"/>
                <w:b/>
                <w:color w:val="000000"/>
                <w:kern w:val="0"/>
                <w:szCs w:val="21"/>
              </w:rPr>
              <w:t>品牌、型号</w:t>
            </w:r>
          </w:p>
        </w:tc>
        <w:tc>
          <w:tcPr>
            <w:tcW w:w="3402" w:type="dxa"/>
            <w:tcBorders>
              <w:top w:val="single" w:sz="8" w:space="0" w:color="auto"/>
              <w:left w:val="single" w:sz="4" w:space="0" w:color="auto"/>
              <w:bottom w:val="nil"/>
              <w:right w:val="single" w:sz="4" w:space="0" w:color="auto"/>
            </w:tcBorders>
            <w:vAlign w:val="center"/>
          </w:tcPr>
          <w:p w:rsidR="009912C0" w:rsidRDefault="009912C0" w:rsidP="00C478E2">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技术参数及性能配置要求</w:t>
            </w:r>
          </w:p>
        </w:tc>
        <w:tc>
          <w:tcPr>
            <w:tcW w:w="1264" w:type="dxa"/>
            <w:tcBorders>
              <w:top w:val="single" w:sz="8" w:space="0" w:color="auto"/>
              <w:left w:val="single" w:sz="4" w:space="0" w:color="auto"/>
              <w:bottom w:val="nil"/>
              <w:right w:val="single" w:sz="8" w:space="0" w:color="auto"/>
            </w:tcBorders>
            <w:shd w:val="clear" w:color="auto" w:fill="auto"/>
            <w:vAlign w:val="center"/>
            <w:hideMark/>
          </w:tcPr>
          <w:p w:rsidR="009912C0" w:rsidRDefault="009912C0" w:rsidP="00C478E2">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单价（元）</w:t>
            </w:r>
          </w:p>
        </w:tc>
        <w:tc>
          <w:tcPr>
            <w:tcW w:w="1134" w:type="dxa"/>
            <w:tcBorders>
              <w:top w:val="single" w:sz="8" w:space="0" w:color="auto"/>
              <w:left w:val="nil"/>
              <w:bottom w:val="nil"/>
              <w:right w:val="single" w:sz="8" w:space="0" w:color="auto"/>
            </w:tcBorders>
            <w:shd w:val="clear" w:color="auto" w:fill="auto"/>
            <w:vAlign w:val="center"/>
            <w:hideMark/>
          </w:tcPr>
          <w:p w:rsidR="009912C0" w:rsidRDefault="009912C0" w:rsidP="00C478E2">
            <w:pPr>
              <w:widowControl/>
              <w:jc w:val="center"/>
              <w:textAlignment w:val="center"/>
              <w:rPr>
                <w:rFonts w:ascii="仿宋" w:eastAsia="仿宋" w:hAnsi="仿宋" w:cs="仿宋"/>
                <w:b/>
                <w:color w:val="000000"/>
                <w:kern w:val="0"/>
                <w:szCs w:val="21"/>
              </w:rPr>
            </w:pPr>
            <w:r>
              <w:rPr>
                <w:rFonts w:ascii="仿宋" w:eastAsia="仿宋" w:hAnsi="仿宋" w:cs="仿宋" w:hint="eastAsia"/>
                <w:b/>
                <w:color w:val="000000"/>
                <w:kern w:val="0"/>
                <w:szCs w:val="21"/>
              </w:rPr>
              <w:t>金额（元）</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车体结构</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single" w:sz="4" w:space="0" w:color="auto"/>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长5米；宽3.25米；高2.8米</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餐车吧台</w:t>
            </w:r>
          </w:p>
        </w:tc>
        <w:tc>
          <w:tcPr>
            <w:tcW w:w="709"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cs="Times New Roman"/>
                <w:kern w:val="0"/>
              </w:rPr>
            </w:pPr>
            <w:r w:rsidRPr="00C478E2">
              <w:rPr>
                <w:rFonts w:ascii="仿宋" w:eastAsia="仿宋" w:hAnsi="仿宋" w:hint="eastAsia"/>
              </w:rPr>
              <w:t xml:space="preserve">　</w:t>
            </w:r>
          </w:p>
        </w:tc>
        <w:tc>
          <w:tcPr>
            <w:tcW w:w="1264" w:type="dxa"/>
            <w:tcBorders>
              <w:top w:val="nil"/>
              <w:left w:val="single" w:sz="4" w:space="0" w:color="auto"/>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一等座乘客座椅</w:t>
            </w:r>
          </w:p>
        </w:tc>
        <w:tc>
          <w:tcPr>
            <w:tcW w:w="709"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4</w:t>
            </w:r>
          </w:p>
        </w:tc>
        <w:tc>
          <w:tcPr>
            <w:tcW w:w="709" w:type="dxa"/>
            <w:tcBorders>
              <w:top w:val="nil"/>
              <w:left w:val="nil"/>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具备旋转功能</w:t>
            </w:r>
          </w:p>
        </w:tc>
        <w:tc>
          <w:tcPr>
            <w:tcW w:w="1264" w:type="dxa"/>
            <w:tcBorders>
              <w:top w:val="nil"/>
              <w:left w:val="single" w:sz="4" w:space="0" w:color="auto"/>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二等座乘客座椅</w:t>
            </w:r>
          </w:p>
        </w:tc>
        <w:tc>
          <w:tcPr>
            <w:tcW w:w="709"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10</w:t>
            </w:r>
          </w:p>
        </w:tc>
        <w:tc>
          <w:tcPr>
            <w:tcW w:w="709" w:type="dxa"/>
            <w:tcBorders>
              <w:top w:val="nil"/>
              <w:left w:val="nil"/>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具备旋转功能</w:t>
            </w:r>
          </w:p>
        </w:tc>
        <w:tc>
          <w:tcPr>
            <w:tcW w:w="1264" w:type="dxa"/>
            <w:tcBorders>
              <w:top w:val="nil"/>
              <w:left w:val="single" w:sz="4" w:space="0" w:color="auto"/>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.旅客行李架</w:t>
            </w:r>
          </w:p>
        </w:tc>
        <w:tc>
          <w:tcPr>
            <w:tcW w:w="709"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分布于</w:t>
            </w:r>
            <w:proofErr w:type="gramStart"/>
            <w:r w:rsidRPr="00C478E2">
              <w:rPr>
                <w:rFonts w:ascii="仿宋" w:eastAsia="仿宋" w:hAnsi="仿宋" w:hint="eastAsia"/>
              </w:rPr>
              <w:t>二等旅客区</w:t>
            </w:r>
            <w:proofErr w:type="gramEnd"/>
            <w:r w:rsidRPr="00C478E2">
              <w:rPr>
                <w:rFonts w:ascii="仿宋" w:eastAsia="仿宋" w:hAnsi="仿宋" w:hint="eastAsia"/>
              </w:rPr>
              <w:t>座椅的上方，沿舱体两侧布置</w:t>
            </w:r>
          </w:p>
        </w:tc>
        <w:tc>
          <w:tcPr>
            <w:tcW w:w="1264" w:type="dxa"/>
            <w:tcBorders>
              <w:top w:val="nil"/>
              <w:left w:val="single" w:sz="4" w:space="0" w:color="auto"/>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.旅客进出门</w:t>
            </w:r>
          </w:p>
        </w:tc>
        <w:tc>
          <w:tcPr>
            <w:tcW w:w="709"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cs="Times New Roman"/>
                <w:kern w:val="0"/>
              </w:rPr>
            </w:pPr>
            <w:r w:rsidRPr="00C478E2">
              <w:rPr>
                <w:rFonts w:ascii="仿宋" w:eastAsia="仿宋" w:hAnsi="仿宋" w:hint="eastAsia"/>
              </w:rPr>
              <w:t xml:space="preserve">　</w:t>
            </w:r>
          </w:p>
        </w:tc>
        <w:tc>
          <w:tcPr>
            <w:tcW w:w="1264" w:type="dxa"/>
            <w:tcBorders>
              <w:top w:val="nil"/>
              <w:left w:val="single" w:sz="4" w:space="0" w:color="auto"/>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后列车门</w:t>
            </w:r>
          </w:p>
        </w:tc>
        <w:tc>
          <w:tcPr>
            <w:tcW w:w="709"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cs="Times New Roman"/>
                <w:kern w:val="0"/>
              </w:rPr>
            </w:pPr>
            <w:r w:rsidRPr="00C478E2">
              <w:rPr>
                <w:rFonts w:ascii="仿宋" w:eastAsia="仿宋" w:hAnsi="仿宋" w:hint="eastAsia"/>
              </w:rPr>
              <w:t xml:space="preserve">　</w:t>
            </w:r>
          </w:p>
        </w:tc>
        <w:tc>
          <w:tcPr>
            <w:tcW w:w="1264" w:type="dxa"/>
            <w:tcBorders>
              <w:top w:val="nil"/>
              <w:left w:val="single" w:sz="4" w:space="0" w:color="auto"/>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地板制作工艺</w:t>
            </w:r>
          </w:p>
        </w:tc>
        <w:tc>
          <w:tcPr>
            <w:tcW w:w="709"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cs="Times New Roman"/>
                <w:kern w:val="0"/>
              </w:rPr>
            </w:pPr>
            <w:r w:rsidRPr="00C478E2">
              <w:rPr>
                <w:rFonts w:ascii="仿宋" w:eastAsia="仿宋" w:hAnsi="仿宋" w:hint="eastAsia"/>
              </w:rPr>
              <w:t xml:space="preserve">　</w:t>
            </w:r>
          </w:p>
        </w:tc>
        <w:tc>
          <w:tcPr>
            <w:tcW w:w="1264" w:type="dxa"/>
            <w:tcBorders>
              <w:top w:val="nil"/>
              <w:left w:val="single" w:sz="4" w:space="0" w:color="auto"/>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动车内部照明系统</w:t>
            </w:r>
          </w:p>
        </w:tc>
        <w:tc>
          <w:tcPr>
            <w:tcW w:w="709"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内部照明按功能分为主照明和应急照明。前门区、后门区、所有功能间、过道顶灯均为LED照明灯。</w:t>
            </w:r>
          </w:p>
        </w:tc>
        <w:tc>
          <w:tcPr>
            <w:tcW w:w="1264" w:type="dxa"/>
            <w:tcBorders>
              <w:top w:val="nil"/>
              <w:left w:val="single" w:sz="4" w:space="0" w:color="auto"/>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广播系统与内</w:t>
            </w:r>
            <w:proofErr w:type="gramStart"/>
            <w:r w:rsidRPr="00C478E2">
              <w:rPr>
                <w:rFonts w:ascii="仿宋" w:eastAsia="仿宋" w:hAnsi="仿宋" w:hint="eastAsia"/>
                <w:szCs w:val="21"/>
              </w:rPr>
              <w:t>话系统</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多功能教官控制室统一对广播和内</w:t>
            </w:r>
            <w:proofErr w:type="gramStart"/>
            <w:r w:rsidRPr="00C478E2">
              <w:rPr>
                <w:rFonts w:ascii="仿宋" w:eastAsia="仿宋" w:hAnsi="仿宋" w:hint="eastAsia"/>
              </w:rPr>
              <w:t>话系统</w:t>
            </w:r>
            <w:proofErr w:type="gramEnd"/>
            <w:r w:rsidRPr="00C478E2">
              <w:rPr>
                <w:rFonts w:ascii="仿宋" w:eastAsia="仿宋" w:hAnsi="仿宋" w:hint="eastAsia"/>
              </w:rPr>
              <w:t>进行控制，可以实现对整个训练器广播、可选区域广播；还可实现司机室与乘务员控制室之间的内部通信；同时具有音量设置功能；整个训练器的音量设置和可选的广播保持不受音乐音量设置的影响。</w:t>
            </w:r>
          </w:p>
        </w:tc>
        <w:tc>
          <w:tcPr>
            <w:tcW w:w="1264" w:type="dxa"/>
            <w:tcBorders>
              <w:top w:val="nil"/>
              <w:left w:val="single" w:sz="4" w:space="0" w:color="auto"/>
              <w:bottom w:val="single" w:sz="4" w:space="0" w:color="auto"/>
              <w:right w:val="single" w:sz="4" w:space="0" w:color="auto"/>
            </w:tcBorders>
            <w:shd w:val="clear" w:color="auto" w:fill="auto"/>
            <w:vAlign w:val="center"/>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vAlign w:val="center"/>
            <w:hideMark/>
          </w:tcPr>
          <w:p w:rsidR="00A2578E" w:rsidRPr="00C478E2" w:rsidRDefault="00A2578E" w:rsidP="00090F1A">
            <w:pPr>
              <w:rPr>
                <w:rFonts w:ascii="仿宋" w:eastAsia="仿宋" w:hAnsi="仿宋"/>
                <w:szCs w:val="21"/>
              </w:rPr>
            </w:pPr>
            <w:r w:rsidRPr="00C478E2">
              <w:rPr>
                <w:rFonts w:ascii="仿宋" w:eastAsia="仿宋" w:hAnsi="仿宋"/>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火灾探测系统</w:t>
            </w:r>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cs="Times New Roman"/>
                <w:kern w:val="0"/>
              </w:rPr>
            </w:pPr>
            <w:r w:rsidRPr="00C478E2">
              <w:rPr>
                <w:rFonts w:ascii="仿宋" w:eastAsia="仿宋" w:hAnsi="仿宋" w:hint="eastAsia"/>
              </w:rPr>
              <w:t xml:space="preserve">　</w:t>
            </w:r>
          </w:p>
        </w:tc>
        <w:tc>
          <w:tcPr>
            <w:tcW w:w="1264" w:type="dxa"/>
            <w:tcBorders>
              <w:top w:val="nil"/>
              <w:left w:val="single" w:sz="4" w:space="0" w:color="auto"/>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内部列车信息显示器</w:t>
            </w:r>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外部信息显示</w:t>
            </w:r>
            <w:proofErr w:type="gramStart"/>
            <w:r w:rsidRPr="00C478E2">
              <w:rPr>
                <w:rFonts w:ascii="仿宋" w:eastAsia="仿宋" w:hAnsi="仿宋" w:hint="eastAsia"/>
              </w:rPr>
              <w:t>器位于</w:t>
            </w:r>
            <w:proofErr w:type="gramEnd"/>
            <w:r w:rsidRPr="00C478E2">
              <w:rPr>
                <w:rFonts w:ascii="仿宋" w:eastAsia="仿宋" w:hAnsi="仿宋" w:hint="eastAsia"/>
              </w:rPr>
              <w:t>脚蹬门附近并中英文交替提供下列信息：上行显示车次和车厢号；第二行显示线路的始发站；底行显示终到站；这几行静止显示并不滚动，</w:t>
            </w:r>
          </w:p>
        </w:tc>
        <w:tc>
          <w:tcPr>
            <w:tcW w:w="1264" w:type="dxa"/>
            <w:tcBorders>
              <w:top w:val="nil"/>
              <w:left w:val="single" w:sz="4" w:space="0" w:color="auto"/>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外部列车信息显示器</w:t>
            </w:r>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内部列车信息显示</w:t>
            </w:r>
            <w:proofErr w:type="gramStart"/>
            <w:r w:rsidRPr="00C478E2">
              <w:rPr>
                <w:rFonts w:ascii="仿宋" w:eastAsia="仿宋" w:hAnsi="仿宋" w:hint="eastAsia"/>
              </w:rPr>
              <w:t>器位于</w:t>
            </w:r>
            <w:proofErr w:type="gramEnd"/>
            <w:r w:rsidRPr="00C478E2">
              <w:rPr>
                <w:rFonts w:ascii="仿宋" w:eastAsia="仿宋" w:hAnsi="仿宋" w:hint="eastAsia"/>
              </w:rPr>
              <w:t>客室的两端并根据距离、车门文字用中英文交替显示</w:t>
            </w:r>
          </w:p>
        </w:tc>
        <w:tc>
          <w:tcPr>
            <w:tcW w:w="1264" w:type="dxa"/>
            <w:tcBorders>
              <w:top w:val="nil"/>
              <w:left w:val="single" w:sz="4" w:space="0" w:color="auto"/>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卫生清洁系统</w:t>
            </w:r>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在训练舱前门区和舱内各安装有AC220V 50HZ的清洁专用电源插座，以备清洁训练舱使用。</w:t>
            </w:r>
          </w:p>
        </w:tc>
        <w:tc>
          <w:tcPr>
            <w:tcW w:w="1264" w:type="dxa"/>
            <w:tcBorders>
              <w:top w:val="nil"/>
              <w:left w:val="single" w:sz="4" w:space="0" w:color="auto"/>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lastRenderedPageBreak/>
              <w:t>15</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通风系统</w:t>
            </w:r>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cs="Times New Roman"/>
                <w:kern w:val="0"/>
              </w:rPr>
            </w:pPr>
            <w:r w:rsidRPr="00C478E2">
              <w:rPr>
                <w:rFonts w:ascii="仿宋" w:eastAsia="仿宋" w:hAnsi="仿宋" w:hint="eastAsia"/>
              </w:rPr>
              <w:t xml:space="preserve">　</w:t>
            </w:r>
          </w:p>
        </w:tc>
        <w:tc>
          <w:tcPr>
            <w:tcW w:w="1264" w:type="dxa"/>
            <w:tcBorders>
              <w:top w:val="nil"/>
              <w:left w:val="single" w:sz="4" w:space="0" w:color="auto"/>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外部喷漆</w:t>
            </w:r>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cs="Times New Roman"/>
                <w:kern w:val="0"/>
              </w:rPr>
            </w:pPr>
            <w:r w:rsidRPr="00C478E2">
              <w:rPr>
                <w:rFonts w:ascii="仿宋" w:eastAsia="仿宋" w:hAnsi="仿宋" w:hint="eastAsia"/>
              </w:rPr>
              <w:t xml:space="preserve">　</w:t>
            </w:r>
          </w:p>
        </w:tc>
        <w:tc>
          <w:tcPr>
            <w:tcW w:w="1264" w:type="dxa"/>
            <w:tcBorders>
              <w:top w:val="nil"/>
              <w:left w:val="single" w:sz="4" w:space="0" w:color="auto"/>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售、退改签柜台</w:t>
            </w:r>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用于给学生模拟实训车站乘客购票、改签、退票业务的办理手续</w:t>
            </w:r>
          </w:p>
        </w:tc>
        <w:tc>
          <w:tcPr>
            <w:tcW w:w="1264" w:type="dxa"/>
            <w:tcBorders>
              <w:top w:val="nil"/>
              <w:left w:val="single" w:sz="4" w:space="0" w:color="auto"/>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小件行李安检X光设备</w:t>
            </w:r>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090F1A">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辅助学生在实训时快速、有效地发现行李内可能存在的违禁物品</w:t>
            </w:r>
          </w:p>
        </w:tc>
        <w:tc>
          <w:tcPr>
            <w:tcW w:w="1264" w:type="dxa"/>
            <w:tcBorders>
              <w:top w:val="nil"/>
              <w:left w:val="single" w:sz="4" w:space="0" w:color="auto"/>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安检门</w:t>
            </w:r>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DC0F94">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当人体携带金属物品通过时能产生报警的装置，</w:t>
            </w:r>
          </w:p>
        </w:tc>
        <w:tc>
          <w:tcPr>
            <w:tcW w:w="1264" w:type="dxa"/>
            <w:tcBorders>
              <w:top w:val="nil"/>
              <w:left w:val="single" w:sz="4" w:space="0" w:color="auto"/>
              <w:bottom w:val="single" w:sz="4" w:space="0" w:color="auto"/>
              <w:right w:val="single" w:sz="4" w:space="0" w:color="auto"/>
            </w:tcBorders>
            <w:shd w:val="clear" w:color="auto" w:fill="auto"/>
            <w:noWrap/>
            <w:vAlign w:val="center"/>
          </w:tcPr>
          <w:p w:rsidR="00A2578E" w:rsidRPr="00C478E2" w:rsidRDefault="00A2578E" w:rsidP="00DC0F94">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20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闸机（检票机）</w:t>
            </w:r>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3</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DC0F94">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r w:rsidRPr="00C478E2">
              <w:rPr>
                <w:rFonts w:ascii="仿宋" w:eastAsia="仿宋" w:hAnsi="仿宋" w:hint="eastAsia"/>
              </w:rPr>
              <w:t>通过识别模拟打印的车票进站</w:t>
            </w:r>
          </w:p>
        </w:tc>
        <w:tc>
          <w:tcPr>
            <w:tcW w:w="1264" w:type="dxa"/>
            <w:tcBorders>
              <w:top w:val="nil"/>
              <w:left w:val="single" w:sz="4" w:space="0" w:color="auto"/>
              <w:bottom w:val="single" w:sz="4" w:space="0" w:color="auto"/>
              <w:right w:val="single" w:sz="4" w:space="0" w:color="auto"/>
            </w:tcBorders>
            <w:shd w:val="clear" w:color="auto" w:fill="auto"/>
            <w:noWrap/>
            <w:vAlign w:val="center"/>
          </w:tcPr>
          <w:p w:rsidR="00A2578E" w:rsidRPr="00C478E2" w:rsidRDefault="00A2578E" w:rsidP="00DC0F94">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49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21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售票系统</w:t>
            </w:r>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DC0F94">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cs="Times New Roman"/>
                <w:kern w:val="0"/>
              </w:rPr>
            </w:pPr>
            <w:r w:rsidRPr="00C478E2">
              <w:rPr>
                <w:rFonts w:ascii="仿宋" w:eastAsia="仿宋" w:hAnsi="仿宋" w:hint="eastAsia"/>
              </w:rPr>
              <w:t xml:space="preserve"> </w:t>
            </w:r>
            <w:proofErr w:type="gramStart"/>
            <w:r w:rsidRPr="00C478E2">
              <w:rPr>
                <w:rFonts w:ascii="仿宋" w:eastAsia="仿宋" w:hAnsi="仿宋" w:hint="eastAsia"/>
              </w:rPr>
              <w:t>模拟高</w:t>
            </w:r>
            <w:proofErr w:type="gramEnd"/>
            <w:r w:rsidRPr="00C478E2">
              <w:rPr>
                <w:rFonts w:ascii="仿宋" w:eastAsia="仿宋" w:hAnsi="仿宋" w:hint="eastAsia"/>
              </w:rPr>
              <w:t>铁系统、列车排班、售票、出票、退改签</w:t>
            </w:r>
          </w:p>
        </w:tc>
        <w:tc>
          <w:tcPr>
            <w:tcW w:w="1264" w:type="dxa"/>
            <w:tcBorders>
              <w:top w:val="nil"/>
              <w:left w:val="single" w:sz="4" w:space="0" w:color="auto"/>
              <w:bottom w:val="single" w:sz="4" w:space="0" w:color="auto"/>
              <w:right w:val="single" w:sz="4" w:space="0" w:color="auto"/>
            </w:tcBorders>
            <w:shd w:val="clear" w:color="auto" w:fill="auto"/>
            <w:noWrap/>
            <w:vAlign w:val="center"/>
          </w:tcPr>
          <w:p w:rsidR="00A2578E" w:rsidRPr="00C478E2" w:rsidRDefault="00A2578E" w:rsidP="00DC0F94">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6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22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手持</w:t>
            </w:r>
            <w:proofErr w:type="gramStart"/>
            <w:r w:rsidRPr="00C478E2">
              <w:rPr>
                <w:rFonts w:ascii="仿宋" w:eastAsia="仿宋" w:hAnsi="仿宋" w:hint="eastAsia"/>
                <w:szCs w:val="21"/>
              </w:rPr>
              <w:t>补票机</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DC0F94">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p>
        </w:tc>
        <w:tc>
          <w:tcPr>
            <w:tcW w:w="1264" w:type="dxa"/>
            <w:tcBorders>
              <w:top w:val="nil"/>
              <w:left w:val="single" w:sz="4" w:space="0" w:color="auto"/>
              <w:bottom w:val="single" w:sz="4" w:space="0" w:color="auto"/>
              <w:right w:val="single" w:sz="4" w:space="0" w:color="auto"/>
            </w:tcBorders>
            <w:shd w:val="clear" w:color="auto" w:fill="auto"/>
            <w:noWrap/>
            <w:vAlign w:val="center"/>
          </w:tcPr>
          <w:p w:rsidR="00A2578E" w:rsidRPr="00C478E2" w:rsidRDefault="00A2578E" w:rsidP="00DC0F94">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hideMark/>
          </w:tcPr>
          <w:p w:rsidR="00A2578E" w:rsidRPr="00C478E2" w:rsidRDefault="00A2578E" w:rsidP="00090F1A">
            <w:pPr>
              <w:rPr>
                <w:rFonts w:ascii="仿宋" w:eastAsia="仿宋" w:hAnsi="仿宋"/>
                <w:szCs w:val="21"/>
              </w:rPr>
            </w:pPr>
            <w:r w:rsidRPr="00C478E2">
              <w:rPr>
                <w:rFonts w:ascii="仿宋" w:eastAsia="仿宋" w:hAnsi="仿宋" w:hint="eastAsia"/>
                <w:szCs w:val="21"/>
              </w:rPr>
              <w:t xml:space="preserve">　</w:t>
            </w:r>
          </w:p>
        </w:tc>
      </w:tr>
      <w:tr w:rsidR="00A2578E" w:rsidRPr="00090F1A" w:rsidTr="00C478E2">
        <w:trPr>
          <w:gridAfter w:val="8"/>
          <w:wAfter w:w="16800" w:type="dxa"/>
          <w:trHeight w:val="690"/>
        </w:trPr>
        <w:tc>
          <w:tcPr>
            <w:tcW w:w="709" w:type="dxa"/>
            <w:tcBorders>
              <w:top w:val="nil"/>
              <w:left w:val="single" w:sz="4" w:space="0" w:color="auto"/>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r w:rsidRPr="00C478E2">
              <w:rPr>
                <w:rFonts w:ascii="仿宋" w:eastAsia="仿宋" w:hAnsi="仿宋" w:hint="eastAsia"/>
                <w:szCs w:val="21"/>
              </w:rPr>
              <w:t>23</w:t>
            </w: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r w:rsidRPr="00C478E2">
              <w:rPr>
                <w:rFonts w:ascii="仿宋" w:eastAsia="仿宋" w:hAnsi="仿宋" w:hint="eastAsia"/>
                <w:szCs w:val="21"/>
              </w:rPr>
              <w:t>二代身份证阅读器</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r w:rsidRPr="00C478E2">
              <w:rPr>
                <w:rFonts w:ascii="仿宋" w:eastAsia="仿宋" w:hAnsi="仿宋" w:hint="eastAsia"/>
                <w:szCs w:val="21"/>
              </w:rPr>
              <w:t>1</w:t>
            </w:r>
          </w:p>
        </w:tc>
        <w:tc>
          <w:tcPr>
            <w:tcW w:w="709"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c>
          <w:tcPr>
            <w:tcW w:w="850" w:type="dxa"/>
            <w:tcBorders>
              <w:top w:val="single" w:sz="4" w:space="0" w:color="auto"/>
              <w:left w:val="nil"/>
              <w:bottom w:val="single" w:sz="4" w:space="0" w:color="auto"/>
              <w:right w:val="single" w:sz="4" w:space="0" w:color="auto"/>
            </w:tcBorders>
          </w:tcPr>
          <w:p w:rsidR="00A2578E" w:rsidRPr="00C478E2" w:rsidRDefault="00A2578E" w:rsidP="00DC0F94">
            <w:pPr>
              <w:rPr>
                <w:rFonts w:ascii="仿宋" w:eastAsia="仿宋" w:hAnsi="仿宋"/>
                <w:szCs w:val="21"/>
              </w:rPr>
            </w:pPr>
          </w:p>
        </w:tc>
        <w:tc>
          <w:tcPr>
            <w:tcW w:w="3402" w:type="dxa"/>
            <w:tcBorders>
              <w:top w:val="nil"/>
              <w:left w:val="single" w:sz="4" w:space="0" w:color="auto"/>
              <w:bottom w:val="single" w:sz="4" w:space="0" w:color="auto"/>
              <w:right w:val="single" w:sz="4" w:space="0" w:color="auto"/>
            </w:tcBorders>
          </w:tcPr>
          <w:p w:rsidR="00A2578E" w:rsidRPr="00C478E2" w:rsidRDefault="00A2578E" w:rsidP="006B4DEC">
            <w:pPr>
              <w:pStyle w:val="a6"/>
              <w:jc w:val="center"/>
              <w:rPr>
                <w:rFonts w:ascii="仿宋" w:eastAsia="仿宋" w:hAnsi="仿宋"/>
              </w:rPr>
            </w:pPr>
          </w:p>
        </w:tc>
        <w:tc>
          <w:tcPr>
            <w:tcW w:w="1264" w:type="dxa"/>
            <w:tcBorders>
              <w:top w:val="nil"/>
              <w:left w:val="single" w:sz="4" w:space="0" w:color="auto"/>
              <w:bottom w:val="single" w:sz="4" w:space="0" w:color="auto"/>
              <w:right w:val="single" w:sz="4" w:space="0" w:color="auto"/>
            </w:tcBorders>
            <w:shd w:val="clear" w:color="auto" w:fill="auto"/>
            <w:noWrap/>
            <w:vAlign w:val="center"/>
          </w:tcPr>
          <w:p w:rsidR="00A2578E" w:rsidRPr="00C478E2" w:rsidRDefault="00A2578E" w:rsidP="00DC0F94">
            <w:pPr>
              <w:rPr>
                <w:rFonts w:ascii="仿宋" w:eastAsia="仿宋" w:hAnsi="仿宋"/>
                <w:szCs w:val="21"/>
              </w:rPr>
            </w:pPr>
          </w:p>
        </w:tc>
        <w:tc>
          <w:tcPr>
            <w:tcW w:w="1134" w:type="dxa"/>
            <w:tcBorders>
              <w:top w:val="nil"/>
              <w:left w:val="nil"/>
              <w:bottom w:val="single" w:sz="4" w:space="0" w:color="auto"/>
              <w:right w:val="single" w:sz="4" w:space="0" w:color="auto"/>
            </w:tcBorders>
            <w:shd w:val="clear" w:color="auto" w:fill="auto"/>
            <w:noWrap/>
            <w:vAlign w:val="bottom"/>
          </w:tcPr>
          <w:p w:rsidR="00A2578E" w:rsidRPr="00C478E2" w:rsidRDefault="00A2578E" w:rsidP="00090F1A">
            <w:pPr>
              <w:rPr>
                <w:rFonts w:ascii="仿宋" w:eastAsia="仿宋" w:hAnsi="仿宋"/>
                <w:szCs w:val="21"/>
              </w:rPr>
            </w:pPr>
          </w:p>
        </w:tc>
      </w:tr>
      <w:tr w:rsidR="00A2578E" w:rsidRPr="00090F1A" w:rsidTr="00C478E2">
        <w:trPr>
          <w:trHeight w:val="2760"/>
        </w:trPr>
        <w:tc>
          <w:tcPr>
            <w:tcW w:w="709" w:type="dxa"/>
            <w:vMerge w:val="restart"/>
            <w:tcBorders>
              <w:top w:val="nil"/>
              <w:left w:val="single" w:sz="4" w:space="0" w:color="auto"/>
              <w:bottom w:val="nil"/>
              <w:right w:val="single" w:sz="4" w:space="0" w:color="auto"/>
            </w:tcBorders>
            <w:shd w:val="clear" w:color="auto" w:fill="auto"/>
            <w:noWrap/>
            <w:vAlign w:val="center"/>
          </w:tcPr>
          <w:p w:rsidR="00A2578E" w:rsidRPr="00C478E2" w:rsidRDefault="00A2578E" w:rsidP="006B4DEC">
            <w:pPr>
              <w:widowControl/>
              <w:jc w:val="center"/>
              <w:textAlignment w:val="center"/>
              <w:rPr>
                <w:rFonts w:ascii="仿宋" w:eastAsia="仿宋" w:hAnsi="仿宋" w:cs="仿宋"/>
                <w:color w:val="000000"/>
                <w:kern w:val="0"/>
                <w:szCs w:val="21"/>
              </w:rPr>
            </w:pPr>
            <w:r w:rsidRPr="00C478E2">
              <w:rPr>
                <w:rFonts w:ascii="仿宋" w:eastAsia="仿宋" w:hAnsi="仿宋" w:cs="仿宋" w:hint="eastAsia"/>
                <w:b/>
                <w:bCs/>
                <w:color w:val="000000"/>
                <w:kern w:val="0"/>
                <w:szCs w:val="21"/>
              </w:rPr>
              <w:t>商务要求</w:t>
            </w:r>
          </w:p>
        </w:tc>
        <w:tc>
          <w:tcPr>
            <w:tcW w:w="9769" w:type="dxa"/>
            <w:gridSpan w:val="7"/>
            <w:vMerge w:val="restart"/>
            <w:tcBorders>
              <w:top w:val="nil"/>
              <w:left w:val="single" w:sz="4" w:space="0" w:color="auto"/>
              <w:right w:val="single" w:sz="4" w:space="0" w:color="auto"/>
            </w:tcBorders>
          </w:tcPr>
          <w:p w:rsidR="00A2578E" w:rsidRPr="00C478E2" w:rsidRDefault="00A2578E" w:rsidP="006B4DEC">
            <w:pPr>
              <w:jc w:val="left"/>
              <w:rPr>
                <w:rFonts w:ascii="仿宋" w:eastAsia="仿宋" w:hAnsi="仿宋" w:cs="仿宋"/>
                <w:b/>
                <w:color w:val="000000"/>
                <w:kern w:val="0"/>
                <w:szCs w:val="21"/>
              </w:rPr>
            </w:pPr>
            <w:r w:rsidRPr="00C478E2">
              <w:rPr>
                <w:rFonts w:ascii="仿宋" w:eastAsia="仿宋" w:hAnsi="仿宋" w:cs="仿宋" w:hint="eastAsia"/>
                <w:b/>
                <w:color w:val="000000"/>
                <w:kern w:val="0"/>
                <w:szCs w:val="21"/>
              </w:rPr>
              <w:t>售后服务及其他要求：</w:t>
            </w:r>
          </w:p>
          <w:p w:rsidR="00A2578E" w:rsidRPr="00C478E2" w:rsidRDefault="00A2578E" w:rsidP="006B4DEC">
            <w:pPr>
              <w:jc w:val="left"/>
              <w:rPr>
                <w:rFonts w:ascii="仿宋" w:eastAsia="仿宋" w:hAnsi="仿宋" w:cs="仿宋"/>
                <w:b/>
                <w:color w:val="000000"/>
                <w:kern w:val="0"/>
                <w:szCs w:val="21"/>
              </w:rPr>
            </w:pPr>
            <w:r w:rsidRPr="00C478E2">
              <w:rPr>
                <w:rFonts w:ascii="仿宋" w:eastAsia="仿宋" w:hAnsi="仿宋" w:cs="仿宋" w:hint="eastAsia"/>
                <w:b/>
                <w:color w:val="000000"/>
                <w:kern w:val="0"/>
                <w:szCs w:val="21"/>
              </w:rPr>
              <w:t>1、质量保证期：质量保证期不少于1年（</w:t>
            </w:r>
            <w:proofErr w:type="gramStart"/>
            <w:r w:rsidRPr="00C478E2">
              <w:rPr>
                <w:rFonts w:ascii="仿宋" w:eastAsia="仿宋" w:hAnsi="仿宋" w:cs="仿宋" w:hint="eastAsia"/>
                <w:b/>
                <w:color w:val="000000"/>
                <w:kern w:val="0"/>
                <w:szCs w:val="21"/>
              </w:rPr>
              <w:t>自最终</w:t>
            </w:r>
            <w:proofErr w:type="gramEnd"/>
            <w:r w:rsidRPr="00C478E2">
              <w:rPr>
                <w:rFonts w:ascii="仿宋" w:eastAsia="仿宋" w:hAnsi="仿宋" w:cs="仿宋" w:hint="eastAsia"/>
                <w:b/>
                <w:color w:val="000000"/>
                <w:kern w:val="0"/>
                <w:szCs w:val="21"/>
              </w:rPr>
              <w:t>验收合格之日算），在质保期内设备运行发生故障，免费上门维修、免费更换零部件；设备提供终身服务，保修期外的服务费用由采购人和供应商另行商议。</w:t>
            </w:r>
          </w:p>
          <w:p w:rsidR="00A2578E" w:rsidRPr="00C478E2" w:rsidRDefault="00A2578E" w:rsidP="006B4DEC">
            <w:pPr>
              <w:jc w:val="left"/>
              <w:rPr>
                <w:rFonts w:ascii="仿宋" w:eastAsia="仿宋" w:hAnsi="仿宋" w:cs="仿宋"/>
                <w:b/>
                <w:color w:val="000000"/>
                <w:kern w:val="0"/>
                <w:szCs w:val="21"/>
              </w:rPr>
            </w:pPr>
            <w:r w:rsidRPr="00C478E2">
              <w:rPr>
                <w:rFonts w:ascii="仿宋" w:eastAsia="仿宋" w:hAnsi="仿宋" w:cs="仿宋" w:hint="eastAsia"/>
                <w:b/>
                <w:color w:val="000000"/>
                <w:kern w:val="0"/>
                <w:szCs w:val="21"/>
              </w:rPr>
              <w:t>2、售后技术服务要求：免费送货上门，免费安装调试。出现故障必须在12小时内做出答复，一般问题应在24小时内解决，重大问题或其它无法迅速解决的问题应在48小时内解决。培训服务：设备安装调试完成后，供应商提供免费技术培训，保证设备使用人员掌握设备操作的各种知识和技巧。</w:t>
            </w:r>
          </w:p>
          <w:p w:rsidR="00A2578E" w:rsidRPr="00C478E2" w:rsidRDefault="00A2578E" w:rsidP="006B4DEC">
            <w:pPr>
              <w:jc w:val="left"/>
              <w:rPr>
                <w:rFonts w:ascii="仿宋" w:eastAsia="仿宋" w:hAnsi="仿宋" w:cs="仿宋"/>
                <w:b/>
                <w:color w:val="000000"/>
                <w:kern w:val="0"/>
                <w:szCs w:val="21"/>
              </w:rPr>
            </w:pPr>
            <w:r w:rsidRPr="00C478E2">
              <w:rPr>
                <w:rFonts w:ascii="仿宋" w:eastAsia="仿宋" w:hAnsi="仿宋" w:cs="仿宋" w:hint="eastAsia"/>
                <w:b/>
                <w:color w:val="000000"/>
                <w:kern w:val="0"/>
                <w:szCs w:val="21"/>
              </w:rPr>
              <w:t>3、交货时间及地点：交付使用时间：自签订合同之日起30个工作日内。交货地点：采购单位指定地点。</w:t>
            </w:r>
          </w:p>
          <w:p w:rsidR="00A2578E" w:rsidRPr="00C478E2" w:rsidRDefault="00A2578E" w:rsidP="006B4DEC">
            <w:pPr>
              <w:jc w:val="left"/>
              <w:rPr>
                <w:rFonts w:ascii="仿宋" w:eastAsia="仿宋" w:hAnsi="仿宋" w:cs="仿宋"/>
                <w:b/>
                <w:color w:val="000000"/>
                <w:kern w:val="0"/>
                <w:szCs w:val="21"/>
              </w:rPr>
            </w:pPr>
            <w:r w:rsidRPr="00C478E2">
              <w:rPr>
                <w:rFonts w:ascii="仿宋" w:eastAsia="仿宋" w:hAnsi="仿宋" w:cs="仿宋" w:hint="eastAsia"/>
                <w:b/>
                <w:color w:val="000000"/>
                <w:kern w:val="0"/>
                <w:szCs w:val="21"/>
              </w:rPr>
              <w:t>4、付款条件：以后续签订合同为准。</w:t>
            </w:r>
          </w:p>
          <w:p w:rsidR="00A2578E" w:rsidRPr="00C478E2" w:rsidRDefault="00A2578E" w:rsidP="006B4DEC">
            <w:pPr>
              <w:jc w:val="left"/>
              <w:rPr>
                <w:rFonts w:ascii="仿宋" w:eastAsia="仿宋" w:hAnsi="仿宋" w:cs="仿宋"/>
                <w:b/>
                <w:color w:val="000000"/>
                <w:kern w:val="0"/>
                <w:szCs w:val="21"/>
              </w:rPr>
            </w:pPr>
            <w:r w:rsidRPr="00C478E2">
              <w:rPr>
                <w:rFonts w:ascii="仿宋" w:eastAsia="仿宋" w:hAnsi="仿宋" w:cs="仿宋" w:hint="eastAsia"/>
                <w:b/>
                <w:color w:val="000000"/>
                <w:kern w:val="0"/>
                <w:szCs w:val="21"/>
              </w:rPr>
              <w:t>5、其他要求：</w:t>
            </w:r>
          </w:p>
          <w:p w:rsidR="00A2578E" w:rsidRPr="00C478E2" w:rsidRDefault="00A2578E" w:rsidP="006B4DEC">
            <w:pPr>
              <w:jc w:val="left"/>
              <w:rPr>
                <w:rFonts w:ascii="仿宋" w:eastAsia="仿宋" w:hAnsi="仿宋" w:cs="仿宋"/>
                <w:b/>
                <w:color w:val="000000"/>
                <w:kern w:val="0"/>
                <w:szCs w:val="21"/>
              </w:rPr>
            </w:pPr>
            <w:r w:rsidRPr="00C478E2">
              <w:rPr>
                <w:rFonts w:ascii="仿宋" w:eastAsia="仿宋" w:hAnsi="仿宋" w:cs="仿宋" w:hint="eastAsia"/>
                <w:b/>
                <w:color w:val="000000"/>
                <w:kern w:val="0"/>
                <w:szCs w:val="21"/>
              </w:rPr>
              <w:t>（1）本项目为总包干价，所有设备材料的安装施工以及设备（含软件）的安装调试，至系统验收合格前所发生的所有费用均由供应商负责。</w:t>
            </w:r>
          </w:p>
          <w:p w:rsidR="00A2578E" w:rsidRPr="00C478E2" w:rsidRDefault="00A2578E" w:rsidP="006B4DEC">
            <w:pPr>
              <w:jc w:val="left"/>
              <w:rPr>
                <w:rFonts w:ascii="仿宋" w:eastAsia="仿宋" w:hAnsi="仿宋" w:cs="仿宋"/>
                <w:b/>
                <w:color w:val="000000"/>
                <w:kern w:val="0"/>
                <w:szCs w:val="21"/>
              </w:rPr>
            </w:pPr>
            <w:r w:rsidRPr="00C478E2">
              <w:rPr>
                <w:rFonts w:ascii="仿宋" w:eastAsia="仿宋" w:hAnsi="仿宋" w:cs="仿宋" w:hint="eastAsia"/>
                <w:b/>
                <w:color w:val="000000"/>
                <w:kern w:val="0"/>
                <w:szCs w:val="21"/>
              </w:rPr>
              <w:t>（2）投标报价超过</w:t>
            </w:r>
            <w:proofErr w:type="gramStart"/>
            <w:r w:rsidRPr="00C478E2">
              <w:rPr>
                <w:rFonts w:ascii="仿宋" w:eastAsia="仿宋" w:hAnsi="仿宋" w:cs="仿宋" w:hint="eastAsia"/>
                <w:b/>
                <w:color w:val="000000"/>
                <w:kern w:val="0"/>
                <w:szCs w:val="21"/>
              </w:rPr>
              <w:t>预算价做无效</w:t>
            </w:r>
            <w:proofErr w:type="gramEnd"/>
            <w:r w:rsidRPr="00C478E2">
              <w:rPr>
                <w:rFonts w:ascii="仿宋" w:eastAsia="仿宋" w:hAnsi="仿宋" w:cs="仿宋" w:hint="eastAsia"/>
                <w:b/>
                <w:color w:val="000000"/>
                <w:kern w:val="0"/>
                <w:szCs w:val="21"/>
              </w:rPr>
              <w:t>投标处理。</w:t>
            </w:r>
          </w:p>
          <w:p w:rsidR="00A2578E" w:rsidRPr="00C478E2" w:rsidRDefault="00A2578E" w:rsidP="006B4DEC">
            <w:pPr>
              <w:jc w:val="left"/>
              <w:rPr>
                <w:rFonts w:ascii="仿宋" w:eastAsia="仿宋" w:hAnsi="仿宋" w:cs="仿宋"/>
                <w:b/>
                <w:color w:val="000000"/>
                <w:kern w:val="0"/>
                <w:szCs w:val="21"/>
              </w:rPr>
            </w:pPr>
            <w:r w:rsidRPr="00C478E2">
              <w:rPr>
                <w:rFonts w:ascii="仿宋" w:eastAsia="仿宋" w:hAnsi="仿宋" w:cs="仿宋" w:hint="eastAsia"/>
                <w:b/>
                <w:color w:val="000000"/>
                <w:kern w:val="0"/>
                <w:szCs w:val="21"/>
              </w:rPr>
              <w:t>6、采购人的特殊要求及说明：</w:t>
            </w:r>
          </w:p>
          <w:p w:rsidR="00A2578E" w:rsidRPr="00C478E2" w:rsidRDefault="00A2578E" w:rsidP="006B4DEC">
            <w:pPr>
              <w:jc w:val="left"/>
              <w:rPr>
                <w:rFonts w:ascii="仿宋" w:eastAsia="仿宋" w:hAnsi="仿宋" w:cs="仿宋"/>
                <w:b/>
                <w:color w:val="000000"/>
                <w:kern w:val="0"/>
                <w:szCs w:val="21"/>
              </w:rPr>
            </w:pPr>
            <w:r w:rsidRPr="00C478E2">
              <w:rPr>
                <w:rFonts w:ascii="仿宋" w:eastAsia="仿宋" w:hAnsi="仿宋" w:cs="仿宋" w:hint="eastAsia"/>
                <w:b/>
                <w:color w:val="000000"/>
                <w:kern w:val="0"/>
                <w:szCs w:val="21"/>
              </w:rPr>
              <w:t>（1）、本项目的技术参数和性能配置为实质性响应的配置要求，响应文件中如不满足技术参数要求的或提供软件截图界面证明不符合招标文件要求的视为实质性不响应，做无效投标处理，如供货的技术参数和性能配置与本项目的货物技术参和性能配置不一致的或有争议的，以本表的技术参数和性能配置要求为准。</w:t>
            </w:r>
          </w:p>
          <w:p w:rsidR="00A2578E" w:rsidRPr="00C478E2" w:rsidRDefault="00A2578E" w:rsidP="00A2578E">
            <w:pPr>
              <w:jc w:val="left"/>
              <w:rPr>
                <w:rFonts w:ascii="仿宋" w:eastAsia="仿宋" w:hAnsi="仿宋" w:cs="仿宋"/>
                <w:b/>
                <w:color w:val="000000"/>
                <w:kern w:val="0"/>
                <w:szCs w:val="21"/>
              </w:rPr>
            </w:pPr>
            <w:r w:rsidRPr="00C478E2">
              <w:rPr>
                <w:rFonts w:ascii="仿宋" w:eastAsia="仿宋" w:hAnsi="仿宋" w:cs="仿宋" w:hint="eastAsia"/>
                <w:b/>
                <w:color w:val="000000"/>
                <w:kern w:val="0"/>
                <w:szCs w:val="21"/>
              </w:rPr>
              <w:t>（2）、现场勘察：本项目统一组织现场勘察，由各投标人的法定代表人或法人授权委托代理人持本人身份证原件、法人授权委托书原件（授权委托时须提供），按时参加并签到（填写踏勘现场签到表并由业主加盖公章或签字）。</w:t>
            </w:r>
            <w:r w:rsidRPr="00C478E2">
              <w:rPr>
                <w:rFonts w:ascii="仿宋" w:eastAsia="仿宋" w:hAnsi="仿宋" w:cs="仿宋" w:hint="eastAsia"/>
                <w:b/>
                <w:kern w:val="0"/>
                <w:szCs w:val="21"/>
              </w:rPr>
              <w:t>现场踏勘时间统一定于2019年11月27日（星期三）上午9时进行（逾期自负），集合地点：广西培贤国际职业学院 （集合并签到），联系人：</w:t>
            </w:r>
            <w:proofErr w:type="gramStart"/>
            <w:r w:rsidRPr="00C478E2">
              <w:rPr>
                <w:rFonts w:ascii="仿宋" w:eastAsia="仿宋" w:hAnsi="仿宋" w:cs="仿宋" w:hint="eastAsia"/>
                <w:b/>
                <w:kern w:val="0"/>
                <w:szCs w:val="21"/>
              </w:rPr>
              <w:t>陈礼姬</w:t>
            </w:r>
            <w:proofErr w:type="gramEnd"/>
            <w:r w:rsidRPr="00C478E2">
              <w:rPr>
                <w:rFonts w:ascii="仿宋" w:eastAsia="仿宋" w:hAnsi="仿宋" w:cs="仿宋" w:hint="eastAsia"/>
                <w:b/>
                <w:kern w:val="0"/>
                <w:szCs w:val="21"/>
              </w:rPr>
              <w:t xml:space="preserve">  ，联系电话：18176896425 ，</w:t>
            </w:r>
            <w:r w:rsidRPr="00C478E2">
              <w:rPr>
                <w:rFonts w:ascii="仿宋" w:eastAsia="仿宋" w:hAnsi="仿宋" w:cs="仿宋" w:hint="eastAsia"/>
                <w:b/>
                <w:color w:val="000000"/>
                <w:kern w:val="0"/>
                <w:szCs w:val="21"/>
              </w:rPr>
              <w:t>由此所发生的一切费用均由投标人自行承担。踏勘现场签到表必须由法定代表人或法人授权委托代理人签字或盖章后随投标文件一同递交，否则投标无效。若不按规定参加踏勘现场的投标人，做投标无效处理。</w:t>
            </w:r>
          </w:p>
        </w:tc>
        <w:tc>
          <w:tcPr>
            <w:tcW w:w="4200" w:type="dxa"/>
            <w:gridSpan w:val="3"/>
          </w:tcPr>
          <w:p w:rsidR="00A2578E" w:rsidRPr="00090F1A" w:rsidRDefault="00A2578E">
            <w:pPr>
              <w:widowControl/>
              <w:jc w:val="left"/>
            </w:pPr>
          </w:p>
        </w:tc>
        <w:tc>
          <w:tcPr>
            <w:tcW w:w="4200" w:type="dxa"/>
            <w:gridSpan w:val="2"/>
          </w:tcPr>
          <w:p w:rsidR="00A2578E" w:rsidRPr="00090F1A" w:rsidRDefault="00A2578E">
            <w:pPr>
              <w:widowControl/>
              <w:jc w:val="left"/>
            </w:pPr>
          </w:p>
        </w:tc>
        <w:tc>
          <w:tcPr>
            <w:tcW w:w="4200" w:type="dxa"/>
            <w:gridSpan w:val="2"/>
          </w:tcPr>
          <w:p w:rsidR="00A2578E" w:rsidRPr="00090F1A" w:rsidRDefault="00A2578E">
            <w:pPr>
              <w:widowControl/>
              <w:jc w:val="left"/>
            </w:pPr>
          </w:p>
        </w:tc>
        <w:tc>
          <w:tcPr>
            <w:tcW w:w="4200" w:type="dxa"/>
          </w:tcPr>
          <w:p w:rsidR="00A2578E" w:rsidRPr="00277B87" w:rsidRDefault="00A2578E" w:rsidP="006B4DEC">
            <w:pPr>
              <w:pStyle w:val="a6"/>
              <w:jc w:val="center"/>
              <w:rPr>
                <w:rFonts w:ascii="Times New Roman" w:eastAsia="宋体" w:hAnsi="Times New Roman" w:cs="Times New Roman"/>
                <w:kern w:val="0"/>
                <w:sz w:val="20"/>
                <w:szCs w:val="20"/>
              </w:rPr>
            </w:pPr>
            <w:r w:rsidRPr="00277B87">
              <w:rPr>
                <w:rFonts w:hint="eastAsia"/>
              </w:rPr>
              <w:t xml:space="preserve">　</w:t>
            </w:r>
          </w:p>
        </w:tc>
      </w:tr>
      <w:tr w:rsidR="00A2578E" w:rsidRPr="00090F1A" w:rsidTr="00C478E2">
        <w:trPr>
          <w:gridAfter w:val="2"/>
          <w:wAfter w:w="4370" w:type="dxa"/>
          <w:trHeight w:val="690"/>
        </w:trPr>
        <w:tc>
          <w:tcPr>
            <w:tcW w:w="709" w:type="dxa"/>
            <w:vMerge/>
            <w:tcBorders>
              <w:left w:val="single" w:sz="4" w:space="0" w:color="auto"/>
              <w:right w:val="single" w:sz="4" w:space="0" w:color="auto"/>
            </w:tcBorders>
            <w:shd w:val="clear" w:color="auto" w:fill="auto"/>
            <w:noWrap/>
            <w:vAlign w:val="bottom"/>
          </w:tcPr>
          <w:p w:rsidR="00A2578E" w:rsidRPr="00090F1A" w:rsidRDefault="00A2578E" w:rsidP="00090F1A"/>
        </w:tc>
        <w:tc>
          <w:tcPr>
            <w:tcW w:w="9769" w:type="dxa"/>
            <w:gridSpan w:val="7"/>
            <w:vMerge/>
            <w:tcBorders>
              <w:left w:val="single" w:sz="4" w:space="0" w:color="auto"/>
              <w:right w:val="single" w:sz="4" w:space="0" w:color="auto"/>
            </w:tcBorders>
          </w:tcPr>
          <w:p w:rsidR="00A2578E" w:rsidRPr="00090F1A" w:rsidRDefault="00A2578E" w:rsidP="008A7DF6"/>
        </w:tc>
        <w:tc>
          <w:tcPr>
            <w:tcW w:w="2570" w:type="dxa"/>
            <w:vAlign w:val="bottom"/>
          </w:tcPr>
          <w:p w:rsidR="00A2578E" w:rsidRPr="00090F1A" w:rsidRDefault="00A2578E" w:rsidP="008A7DF6"/>
        </w:tc>
        <w:tc>
          <w:tcPr>
            <w:tcW w:w="1460" w:type="dxa"/>
            <w:vAlign w:val="bottom"/>
          </w:tcPr>
          <w:p w:rsidR="00A2578E" w:rsidRPr="00090F1A" w:rsidRDefault="00A2578E" w:rsidP="008A7DF6"/>
        </w:tc>
        <w:tc>
          <w:tcPr>
            <w:tcW w:w="4200" w:type="dxa"/>
            <w:gridSpan w:val="2"/>
          </w:tcPr>
          <w:p w:rsidR="00A2578E" w:rsidRPr="00090F1A" w:rsidRDefault="00A2578E">
            <w:pPr>
              <w:widowControl/>
              <w:jc w:val="left"/>
            </w:pPr>
          </w:p>
        </w:tc>
        <w:tc>
          <w:tcPr>
            <w:tcW w:w="4200" w:type="dxa"/>
            <w:gridSpan w:val="2"/>
          </w:tcPr>
          <w:p w:rsidR="00A2578E" w:rsidRPr="00277B87" w:rsidRDefault="00A2578E" w:rsidP="006B4DEC">
            <w:pPr>
              <w:pStyle w:val="a6"/>
              <w:jc w:val="center"/>
              <w:rPr>
                <w:rFonts w:ascii="Times New Roman" w:eastAsia="宋体" w:hAnsi="Times New Roman" w:cs="Times New Roman"/>
                <w:kern w:val="0"/>
                <w:sz w:val="20"/>
                <w:szCs w:val="20"/>
              </w:rPr>
            </w:pPr>
            <w:r w:rsidRPr="00277B87">
              <w:rPr>
                <w:rFonts w:hint="eastAsia"/>
              </w:rPr>
              <w:t xml:space="preserve">　</w:t>
            </w:r>
          </w:p>
        </w:tc>
      </w:tr>
      <w:tr w:rsidR="00A2578E" w:rsidRPr="00090F1A" w:rsidTr="00C478E2">
        <w:trPr>
          <w:gridAfter w:val="2"/>
          <w:wAfter w:w="4370" w:type="dxa"/>
          <w:trHeight w:val="690"/>
        </w:trPr>
        <w:tc>
          <w:tcPr>
            <w:tcW w:w="709" w:type="dxa"/>
            <w:vMerge/>
            <w:tcBorders>
              <w:left w:val="single" w:sz="4" w:space="0" w:color="auto"/>
              <w:right w:val="single" w:sz="4" w:space="0" w:color="auto"/>
            </w:tcBorders>
            <w:shd w:val="clear" w:color="auto" w:fill="auto"/>
            <w:noWrap/>
            <w:vAlign w:val="bottom"/>
          </w:tcPr>
          <w:p w:rsidR="00A2578E" w:rsidRPr="00090F1A" w:rsidRDefault="00A2578E" w:rsidP="00090F1A"/>
        </w:tc>
        <w:tc>
          <w:tcPr>
            <w:tcW w:w="9769" w:type="dxa"/>
            <w:gridSpan w:val="7"/>
            <w:vMerge/>
            <w:tcBorders>
              <w:left w:val="single" w:sz="4" w:space="0" w:color="auto"/>
              <w:right w:val="single" w:sz="4" w:space="0" w:color="auto"/>
            </w:tcBorders>
          </w:tcPr>
          <w:p w:rsidR="00A2578E" w:rsidRPr="00090F1A" w:rsidRDefault="00A2578E" w:rsidP="008A7DF6"/>
        </w:tc>
        <w:tc>
          <w:tcPr>
            <w:tcW w:w="2570" w:type="dxa"/>
            <w:vAlign w:val="bottom"/>
          </w:tcPr>
          <w:p w:rsidR="00A2578E" w:rsidRPr="00090F1A" w:rsidRDefault="00A2578E" w:rsidP="008A7DF6"/>
        </w:tc>
        <w:tc>
          <w:tcPr>
            <w:tcW w:w="1460" w:type="dxa"/>
            <w:vAlign w:val="bottom"/>
          </w:tcPr>
          <w:p w:rsidR="00A2578E" w:rsidRPr="00090F1A" w:rsidRDefault="00A2578E" w:rsidP="008A7DF6"/>
        </w:tc>
        <w:tc>
          <w:tcPr>
            <w:tcW w:w="4200" w:type="dxa"/>
            <w:gridSpan w:val="2"/>
          </w:tcPr>
          <w:p w:rsidR="00A2578E" w:rsidRPr="00090F1A" w:rsidRDefault="00A2578E">
            <w:pPr>
              <w:widowControl/>
              <w:jc w:val="left"/>
            </w:pPr>
          </w:p>
        </w:tc>
        <w:tc>
          <w:tcPr>
            <w:tcW w:w="4200" w:type="dxa"/>
            <w:gridSpan w:val="2"/>
          </w:tcPr>
          <w:p w:rsidR="00A2578E" w:rsidRPr="00277B87" w:rsidRDefault="00A2578E" w:rsidP="006B4DEC">
            <w:pPr>
              <w:pStyle w:val="a6"/>
              <w:jc w:val="center"/>
              <w:rPr>
                <w:rFonts w:ascii="Times New Roman" w:eastAsia="宋体" w:hAnsi="Times New Roman" w:cs="Times New Roman"/>
                <w:kern w:val="0"/>
                <w:sz w:val="20"/>
                <w:szCs w:val="20"/>
              </w:rPr>
            </w:pPr>
            <w:r w:rsidRPr="00277B87">
              <w:rPr>
                <w:rFonts w:hint="eastAsia"/>
              </w:rPr>
              <w:t xml:space="preserve">　</w:t>
            </w:r>
          </w:p>
        </w:tc>
      </w:tr>
      <w:tr w:rsidR="00A2578E" w:rsidRPr="00090F1A" w:rsidTr="00C478E2">
        <w:trPr>
          <w:gridAfter w:val="6"/>
          <w:wAfter w:w="12770" w:type="dxa"/>
          <w:trHeight w:val="690"/>
        </w:trPr>
        <w:tc>
          <w:tcPr>
            <w:tcW w:w="709" w:type="dxa"/>
            <w:vMerge/>
            <w:tcBorders>
              <w:left w:val="single" w:sz="4" w:space="0" w:color="auto"/>
              <w:right w:val="single" w:sz="4" w:space="0" w:color="auto"/>
            </w:tcBorders>
            <w:shd w:val="clear" w:color="auto" w:fill="auto"/>
            <w:noWrap/>
            <w:vAlign w:val="bottom"/>
          </w:tcPr>
          <w:p w:rsidR="00A2578E" w:rsidRPr="00090F1A" w:rsidRDefault="00A2578E" w:rsidP="00090F1A"/>
        </w:tc>
        <w:tc>
          <w:tcPr>
            <w:tcW w:w="9769" w:type="dxa"/>
            <w:gridSpan w:val="7"/>
            <w:vMerge/>
            <w:tcBorders>
              <w:left w:val="single" w:sz="4" w:space="0" w:color="auto"/>
              <w:right w:val="single" w:sz="4" w:space="0" w:color="auto"/>
            </w:tcBorders>
          </w:tcPr>
          <w:p w:rsidR="00A2578E" w:rsidRPr="00090F1A" w:rsidRDefault="00A2578E" w:rsidP="008A7DF6"/>
        </w:tc>
        <w:tc>
          <w:tcPr>
            <w:tcW w:w="2570" w:type="dxa"/>
            <w:vAlign w:val="bottom"/>
          </w:tcPr>
          <w:p w:rsidR="00A2578E" w:rsidRPr="00090F1A" w:rsidRDefault="00A2578E" w:rsidP="008A7DF6"/>
        </w:tc>
        <w:tc>
          <w:tcPr>
            <w:tcW w:w="1460" w:type="dxa"/>
            <w:vAlign w:val="bottom"/>
          </w:tcPr>
          <w:p w:rsidR="00A2578E" w:rsidRPr="00090F1A" w:rsidRDefault="00A2578E" w:rsidP="008A7DF6"/>
        </w:tc>
      </w:tr>
      <w:tr w:rsidR="00A2578E" w:rsidRPr="00090F1A" w:rsidTr="00C478E2">
        <w:trPr>
          <w:gridAfter w:val="6"/>
          <w:wAfter w:w="12770" w:type="dxa"/>
          <w:trHeight w:val="690"/>
        </w:trPr>
        <w:tc>
          <w:tcPr>
            <w:tcW w:w="709" w:type="dxa"/>
            <w:vMerge/>
            <w:tcBorders>
              <w:left w:val="single" w:sz="4" w:space="0" w:color="auto"/>
              <w:bottom w:val="single" w:sz="4" w:space="0" w:color="auto"/>
              <w:right w:val="single" w:sz="4" w:space="0" w:color="auto"/>
            </w:tcBorders>
            <w:shd w:val="clear" w:color="auto" w:fill="auto"/>
            <w:noWrap/>
            <w:vAlign w:val="bottom"/>
          </w:tcPr>
          <w:p w:rsidR="00A2578E" w:rsidRPr="00090F1A" w:rsidRDefault="00A2578E" w:rsidP="00090F1A"/>
        </w:tc>
        <w:tc>
          <w:tcPr>
            <w:tcW w:w="9769" w:type="dxa"/>
            <w:gridSpan w:val="7"/>
            <w:vMerge/>
            <w:tcBorders>
              <w:left w:val="single" w:sz="4" w:space="0" w:color="auto"/>
              <w:bottom w:val="single" w:sz="4" w:space="0" w:color="auto"/>
              <w:right w:val="single" w:sz="4" w:space="0" w:color="auto"/>
            </w:tcBorders>
          </w:tcPr>
          <w:p w:rsidR="00A2578E" w:rsidRPr="00090F1A" w:rsidRDefault="00A2578E" w:rsidP="008A7DF6"/>
        </w:tc>
        <w:tc>
          <w:tcPr>
            <w:tcW w:w="2570" w:type="dxa"/>
            <w:vAlign w:val="bottom"/>
          </w:tcPr>
          <w:p w:rsidR="00A2578E" w:rsidRPr="00090F1A" w:rsidRDefault="00A2578E" w:rsidP="008A7DF6"/>
        </w:tc>
        <w:tc>
          <w:tcPr>
            <w:tcW w:w="1460" w:type="dxa"/>
            <w:vAlign w:val="bottom"/>
          </w:tcPr>
          <w:p w:rsidR="00A2578E" w:rsidRPr="00090F1A" w:rsidRDefault="00A2578E" w:rsidP="008A7DF6"/>
        </w:tc>
      </w:tr>
    </w:tbl>
    <w:p w:rsidR="009912C0" w:rsidRPr="00090F1A" w:rsidRDefault="009912C0"/>
    <w:p w:rsidR="002625C4" w:rsidRDefault="002F31D1">
      <w:pPr>
        <w:rPr>
          <w:b/>
          <w:bCs/>
        </w:rPr>
      </w:pPr>
      <w:r>
        <w:rPr>
          <w:rFonts w:hint="eastAsia"/>
          <w:b/>
          <w:bCs/>
        </w:rPr>
        <w:t>报价公司（盖公章）：</w:t>
      </w:r>
    </w:p>
    <w:p w:rsidR="002625C4" w:rsidRPr="009912C0" w:rsidRDefault="002625C4">
      <w:pPr>
        <w:rPr>
          <w:b/>
          <w:bCs/>
        </w:rPr>
      </w:pPr>
    </w:p>
    <w:p w:rsidR="002625C4" w:rsidRDefault="002F31D1">
      <w:pPr>
        <w:rPr>
          <w:b/>
          <w:bCs/>
        </w:rPr>
      </w:pPr>
      <w:r>
        <w:rPr>
          <w:rFonts w:hint="eastAsia"/>
          <w:b/>
          <w:bCs/>
        </w:rPr>
        <w:t>联系人及电话：</w:t>
      </w:r>
      <w:bookmarkStart w:id="0" w:name="_GoBack"/>
      <w:bookmarkEnd w:id="0"/>
    </w:p>
    <w:p w:rsidR="002625C4" w:rsidRDefault="002625C4">
      <w:pPr>
        <w:rPr>
          <w:b/>
          <w:bCs/>
        </w:rPr>
      </w:pPr>
    </w:p>
    <w:p w:rsidR="002625C4" w:rsidRDefault="002F31D1">
      <w:pPr>
        <w:rPr>
          <w:b/>
          <w:bCs/>
        </w:rPr>
      </w:pPr>
      <w:r>
        <w:rPr>
          <w:rFonts w:hint="eastAsia"/>
          <w:b/>
          <w:bCs/>
        </w:rPr>
        <w:t>报价日期：</w:t>
      </w:r>
    </w:p>
    <w:sectPr w:rsidR="002625C4" w:rsidSect="002625C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31D" w:rsidRDefault="00C4131D" w:rsidP="00DF5EEB">
      <w:r>
        <w:separator/>
      </w:r>
    </w:p>
  </w:endnote>
  <w:endnote w:type="continuationSeparator" w:id="0">
    <w:p w:rsidR="00C4131D" w:rsidRDefault="00C4131D" w:rsidP="00DF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31D" w:rsidRDefault="00C4131D" w:rsidP="00DF5EEB">
      <w:r>
        <w:separator/>
      </w:r>
    </w:p>
  </w:footnote>
  <w:footnote w:type="continuationSeparator" w:id="0">
    <w:p w:rsidR="00C4131D" w:rsidRDefault="00C4131D" w:rsidP="00DF5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8D10D6F"/>
    <w:rsid w:val="00006C6D"/>
    <w:rsid w:val="00090F1A"/>
    <w:rsid w:val="001B07A1"/>
    <w:rsid w:val="002625C4"/>
    <w:rsid w:val="002F31D1"/>
    <w:rsid w:val="00371795"/>
    <w:rsid w:val="003823EA"/>
    <w:rsid w:val="003D23B7"/>
    <w:rsid w:val="004562AD"/>
    <w:rsid w:val="0049065E"/>
    <w:rsid w:val="006A4F45"/>
    <w:rsid w:val="006B03AF"/>
    <w:rsid w:val="00786A80"/>
    <w:rsid w:val="00836D1C"/>
    <w:rsid w:val="008C068C"/>
    <w:rsid w:val="0091311B"/>
    <w:rsid w:val="009912C0"/>
    <w:rsid w:val="00A2578E"/>
    <w:rsid w:val="00B53C1F"/>
    <w:rsid w:val="00C4131D"/>
    <w:rsid w:val="00C478E2"/>
    <w:rsid w:val="00C64020"/>
    <w:rsid w:val="00CB0289"/>
    <w:rsid w:val="00D172DB"/>
    <w:rsid w:val="00DF5EEB"/>
    <w:rsid w:val="00E13E40"/>
    <w:rsid w:val="00F056D9"/>
    <w:rsid w:val="00F2514E"/>
    <w:rsid w:val="00F85233"/>
    <w:rsid w:val="00FB4626"/>
    <w:rsid w:val="00FD51F4"/>
    <w:rsid w:val="01D132CB"/>
    <w:rsid w:val="054120D6"/>
    <w:rsid w:val="060163EE"/>
    <w:rsid w:val="07CB55B2"/>
    <w:rsid w:val="08A25D12"/>
    <w:rsid w:val="0AEB1CF5"/>
    <w:rsid w:val="0BDB5DC4"/>
    <w:rsid w:val="0C25128A"/>
    <w:rsid w:val="0DBF7787"/>
    <w:rsid w:val="0F122474"/>
    <w:rsid w:val="0FBC1139"/>
    <w:rsid w:val="10977235"/>
    <w:rsid w:val="10A739B8"/>
    <w:rsid w:val="12A13B30"/>
    <w:rsid w:val="15282C64"/>
    <w:rsid w:val="1F3D558E"/>
    <w:rsid w:val="1FD049CA"/>
    <w:rsid w:val="250067B1"/>
    <w:rsid w:val="293F2A5F"/>
    <w:rsid w:val="29A552E6"/>
    <w:rsid w:val="2CDE7016"/>
    <w:rsid w:val="301201F1"/>
    <w:rsid w:val="325427DD"/>
    <w:rsid w:val="341F7BA2"/>
    <w:rsid w:val="38D10D6F"/>
    <w:rsid w:val="40D1649C"/>
    <w:rsid w:val="41D44A0E"/>
    <w:rsid w:val="427616C4"/>
    <w:rsid w:val="435771DE"/>
    <w:rsid w:val="4BFE4CBD"/>
    <w:rsid w:val="51403813"/>
    <w:rsid w:val="51664C89"/>
    <w:rsid w:val="53474CC2"/>
    <w:rsid w:val="53D35B89"/>
    <w:rsid w:val="54F83F72"/>
    <w:rsid w:val="57A40645"/>
    <w:rsid w:val="5A606E56"/>
    <w:rsid w:val="5AB96114"/>
    <w:rsid w:val="5AFF7241"/>
    <w:rsid w:val="5D204B26"/>
    <w:rsid w:val="5DCB0176"/>
    <w:rsid w:val="5DDE0047"/>
    <w:rsid w:val="60E7593C"/>
    <w:rsid w:val="612C646D"/>
    <w:rsid w:val="62C5542E"/>
    <w:rsid w:val="66D0268D"/>
    <w:rsid w:val="66DC3B94"/>
    <w:rsid w:val="67E07DFD"/>
    <w:rsid w:val="68B01C13"/>
    <w:rsid w:val="69645D94"/>
    <w:rsid w:val="6CB9124F"/>
    <w:rsid w:val="6EE12F64"/>
    <w:rsid w:val="7279279B"/>
    <w:rsid w:val="729527CF"/>
    <w:rsid w:val="75CA3CFA"/>
    <w:rsid w:val="7686088E"/>
    <w:rsid w:val="77832037"/>
    <w:rsid w:val="780B57BD"/>
    <w:rsid w:val="794443EA"/>
    <w:rsid w:val="7A8105B7"/>
    <w:rsid w:val="7CEA3F48"/>
    <w:rsid w:val="7E916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578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625C4"/>
    <w:rPr>
      <w:sz w:val="18"/>
      <w:szCs w:val="18"/>
    </w:rPr>
  </w:style>
  <w:style w:type="character" w:customStyle="1" w:styleId="Char">
    <w:name w:val="批注框文本 Char"/>
    <w:basedOn w:val="a0"/>
    <w:link w:val="a3"/>
    <w:qFormat/>
    <w:rsid w:val="002625C4"/>
    <w:rPr>
      <w:rFonts w:ascii="Calibri" w:hAnsi="Calibri"/>
      <w:kern w:val="2"/>
      <w:sz w:val="18"/>
      <w:szCs w:val="18"/>
    </w:rPr>
  </w:style>
  <w:style w:type="paragraph" w:styleId="a4">
    <w:name w:val="header"/>
    <w:basedOn w:val="a"/>
    <w:link w:val="Char0"/>
    <w:rsid w:val="00DF5E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F5EEB"/>
    <w:rPr>
      <w:rFonts w:ascii="Calibri" w:hAnsi="Calibri"/>
      <w:kern w:val="2"/>
      <w:sz w:val="18"/>
      <w:szCs w:val="18"/>
    </w:rPr>
  </w:style>
  <w:style w:type="paragraph" w:styleId="a5">
    <w:name w:val="footer"/>
    <w:basedOn w:val="a"/>
    <w:link w:val="Char1"/>
    <w:rsid w:val="00DF5EEB"/>
    <w:pPr>
      <w:tabs>
        <w:tab w:val="center" w:pos="4153"/>
        <w:tab w:val="right" w:pos="8306"/>
      </w:tabs>
      <w:snapToGrid w:val="0"/>
      <w:jc w:val="left"/>
    </w:pPr>
    <w:rPr>
      <w:sz w:val="18"/>
      <w:szCs w:val="18"/>
    </w:rPr>
  </w:style>
  <w:style w:type="character" w:customStyle="1" w:styleId="Char1">
    <w:name w:val="页脚 Char"/>
    <w:basedOn w:val="a0"/>
    <w:link w:val="a5"/>
    <w:rsid w:val="00DF5EEB"/>
    <w:rPr>
      <w:rFonts w:ascii="Calibri" w:hAnsi="Calibri"/>
      <w:kern w:val="2"/>
      <w:sz w:val="18"/>
      <w:szCs w:val="18"/>
    </w:rPr>
  </w:style>
  <w:style w:type="paragraph" w:styleId="a6">
    <w:name w:val="Body Text"/>
    <w:basedOn w:val="a"/>
    <w:link w:val="Char2"/>
    <w:uiPriority w:val="1"/>
    <w:qFormat/>
    <w:rsid w:val="00A2578E"/>
    <w:rPr>
      <w:rFonts w:ascii="宋体" w:eastAsiaTheme="minorEastAsia" w:hAnsi="宋体" w:cs="宋体"/>
      <w:szCs w:val="21"/>
      <w:lang w:val="zh-CN" w:bidi="zh-CN"/>
    </w:rPr>
  </w:style>
  <w:style w:type="character" w:customStyle="1" w:styleId="Char2">
    <w:name w:val="正文文本 Char"/>
    <w:basedOn w:val="a0"/>
    <w:link w:val="a6"/>
    <w:uiPriority w:val="1"/>
    <w:rsid w:val="00A2578E"/>
    <w:rPr>
      <w:rFonts w:ascii="宋体" w:eastAsiaTheme="minorEastAsia" w:hAnsi="宋体" w:cs="宋体"/>
      <w:kern w:val="2"/>
      <w:sz w:val="21"/>
      <w:szCs w:val="21"/>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288</Words>
  <Characters>1643</Characters>
  <Application>Microsoft Office Word</Application>
  <DocSecurity>0</DocSecurity>
  <Lines>13</Lines>
  <Paragraphs>3</Paragraphs>
  <ScaleCrop>false</ScaleCrop>
  <Company>Microsoft</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dc:creator>
  <cp:lastModifiedBy>Administrator</cp:lastModifiedBy>
  <cp:revision>13</cp:revision>
  <dcterms:created xsi:type="dcterms:W3CDTF">2019-06-11T08:02:00Z</dcterms:created>
  <dcterms:modified xsi:type="dcterms:W3CDTF">2019-11-26T04:02:00Z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