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40" w:lineRule="exact"/>
      </w:pPr>
    </w:p>
    <w:p>
      <w:pPr>
        <w:widowControl/>
        <w:spacing w:line="560" w:lineRule="exact"/>
        <w:jc w:val="left"/>
        <w:rPr>
          <w:rFonts w:eastAsia="仿宋_GB2312"/>
          <w:sz w:val="28"/>
          <w:szCs w:val="28"/>
        </w:rPr>
      </w:pPr>
    </w:p>
    <w:p>
      <w:pPr>
        <w:widowControl/>
        <w:spacing w:line="560" w:lineRule="exact"/>
        <w:jc w:val="left"/>
        <w:rPr>
          <w:rFonts w:eastAsia="仿宋_GB2312"/>
          <w:sz w:val="28"/>
          <w:szCs w:val="28"/>
        </w:rPr>
      </w:pPr>
    </w:p>
    <w:p>
      <w:pPr>
        <w:widowControl/>
        <w:spacing w:line="560" w:lineRule="exact"/>
        <w:ind w:firstLine="560" w:firstLineChars="200"/>
        <w:jc w:val="left"/>
        <w:rPr>
          <w:rFonts w:eastAsia="仿宋_GB2312"/>
          <w:sz w:val="28"/>
          <w:szCs w:val="28"/>
        </w:rPr>
      </w:pPr>
    </w:p>
    <w:p>
      <w:pPr>
        <w:widowControl/>
        <w:spacing w:line="560" w:lineRule="exact"/>
        <w:ind w:firstLine="560" w:firstLineChars="200"/>
        <w:jc w:val="left"/>
        <w:rPr>
          <w:rFonts w:eastAsia="仿宋_GB2312"/>
          <w:sz w:val="28"/>
          <w:szCs w:val="28"/>
        </w:rPr>
      </w:pPr>
    </w:p>
    <w:p>
      <w:pPr>
        <w:spacing w:before="312" w:beforeLines="100" w:line="440" w:lineRule="exact"/>
        <w:jc w:val="center"/>
        <w:outlineLvl w:val="1"/>
        <w:rPr>
          <w:rFonts w:eastAsia="仿宋_GB2312"/>
          <w:sz w:val="28"/>
          <w:szCs w:val="28"/>
          <w:lang w:val="en-GB"/>
        </w:rPr>
      </w:pPr>
      <w:r>
        <w:rPr>
          <w:rFonts w:eastAsia="黑体"/>
          <w:sz w:val="72"/>
          <w:szCs w:val="72"/>
          <w:lang w:val="en-GB"/>
        </w:rPr>
        <w:t>201</w:t>
      </w:r>
      <w:r>
        <w:rPr>
          <w:rFonts w:hint="eastAsia" w:eastAsia="黑体"/>
          <w:sz w:val="72"/>
          <w:szCs w:val="72"/>
          <w:lang w:val="en-GB"/>
        </w:rPr>
        <w:t>9</w:t>
      </w:r>
      <w:r>
        <w:rPr>
          <w:rFonts w:eastAsia="黑体"/>
          <w:sz w:val="72"/>
          <w:szCs w:val="72"/>
          <w:lang w:val="en-GB"/>
        </w:rPr>
        <w:t>级专业人才培养方案</w:t>
      </w: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autoSpaceDE w:val="0"/>
        <w:autoSpaceDN w:val="0"/>
        <w:adjustRightInd w:val="0"/>
        <w:jc w:val="left"/>
        <w:rPr>
          <w:kern w:val="0"/>
          <w:sz w:val="24"/>
        </w:rPr>
      </w:pPr>
    </w:p>
    <w:p>
      <w:pPr>
        <w:autoSpaceDE w:val="0"/>
        <w:autoSpaceDN w:val="0"/>
        <w:adjustRightInd w:val="0"/>
        <w:ind w:firstLine="2800" w:firstLineChars="1000"/>
        <w:rPr>
          <w:kern w:val="0"/>
          <w:sz w:val="28"/>
          <w:szCs w:val="28"/>
        </w:rPr>
      </w:pPr>
      <w:r>
        <w:rPr>
          <w:kern w:val="0"/>
          <w:sz w:val="28"/>
          <w:szCs w:val="28"/>
        </w:rPr>
        <w:t>系（院）：</w:t>
      </w:r>
      <w:r>
        <w:rPr>
          <w:kern w:val="0"/>
          <w:sz w:val="28"/>
          <w:szCs w:val="28"/>
          <w:u w:val="single"/>
        </w:rPr>
        <w:t xml:space="preserve">  </w:t>
      </w:r>
      <w:r>
        <w:rPr>
          <w:rFonts w:hint="eastAsia"/>
          <w:kern w:val="0"/>
          <w:sz w:val="28"/>
          <w:szCs w:val="28"/>
          <w:u w:val="single"/>
        </w:rPr>
        <w:t>财经管理学院</w:t>
      </w:r>
      <w:r>
        <w:rPr>
          <w:kern w:val="0"/>
          <w:sz w:val="28"/>
          <w:szCs w:val="28"/>
          <w:u w:val="single"/>
        </w:rPr>
        <w:t xml:space="preserve">                  </w:t>
      </w:r>
    </w:p>
    <w:p>
      <w:pPr>
        <w:autoSpaceDE w:val="0"/>
        <w:autoSpaceDN w:val="0"/>
        <w:adjustRightInd w:val="0"/>
        <w:ind w:firstLine="2800" w:firstLineChars="1000"/>
        <w:rPr>
          <w:kern w:val="0"/>
          <w:sz w:val="28"/>
          <w:szCs w:val="28"/>
          <w:u w:val="single"/>
        </w:rPr>
      </w:pPr>
      <w:r>
        <w:rPr>
          <w:kern w:val="0"/>
          <w:sz w:val="28"/>
          <w:szCs w:val="28"/>
        </w:rPr>
        <w:t>专    业：</w:t>
      </w:r>
      <w:r>
        <w:rPr>
          <w:kern w:val="0"/>
          <w:sz w:val="28"/>
          <w:szCs w:val="28"/>
          <w:u w:val="single"/>
        </w:rPr>
        <w:t xml:space="preserve">  </w:t>
      </w:r>
      <w:r>
        <w:rPr>
          <w:rFonts w:hint="eastAsia"/>
          <w:kern w:val="0"/>
          <w:sz w:val="28"/>
          <w:szCs w:val="28"/>
          <w:u w:val="single"/>
        </w:rPr>
        <w:t>物流管理</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p>
    <w:p>
      <w:pPr>
        <w:autoSpaceDE w:val="0"/>
        <w:autoSpaceDN w:val="0"/>
        <w:adjustRightInd w:val="0"/>
        <w:ind w:firstLine="2800" w:firstLineChars="1000"/>
        <w:rPr>
          <w:kern w:val="0"/>
          <w:sz w:val="28"/>
          <w:szCs w:val="28"/>
        </w:rPr>
      </w:pPr>
      <w:r>
        <w:rPr>
          <w:rFonts w:hint="eastAsia"/>
          <w:kern w:val="0"/>
          <w:sz w:val="28"/>
          <w:szCs w:val="28"/>
        </w:rPr>
        <w:t>年    级</w:t>
      </w:r>
      <w:r>
        <w:rPr>
          <w:kern w:val="0"/>
          <w:sz w:val="28"/>
          <w:szCs w:val="28"/>
        </w:rPr>
        <w:t>：</w:t>
      </w:r>
      <w:r>
        <w:rPr>
          <w:kern w:val="0"/>
          <w:sz w:val="28"/>
          <w:szCs w:val="28"/>
          <w:u w:val="single"/>
        </w:rPr>
        <w:t xml:space="preserve">  </w:t>
      </w:r>
      <w:r>
        <w:rPr>
          <w:rFonts w:hint="eastAsia"/>
          <w:kern w:val="0"/>
          <w:sz w:val="28"/>
          <w:szCs w:val="28"/>
          <w:u w:val="single"/>
        </w:rPr>
        <w:t>2019级</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p>
    <w:p>
      <w:pPr>
        <w:autoSpaceDE w:val="0"/>
        <w:autoSpaceDN w:val="0"/>
        <w:adjustRightInd w:val="0"/>
        <w:ind w:firstLine="2800" w:firstLineChars="1000"/>
        <w:rPr>
          <w:kern w:val="0"/>
          <w:sz w:val="28"/>
          <w:szCs w:val="28"/>
          <w:u w:val="single"/>
        </w:rPr>
      </w:pPr>
      <w:r>
        <w:rPr>
          <w:rFonts w:hint="eastAsia"/>
          <w:kern w:val="0"/>
          <w:sz w:val="28"/>
          <w:szCs w:val="28"/>
        </w:rPr>
        <w:t>编 制</w:t>
      </w:r>
      <w:r>
        <w:rPr>
          <w:kern w:val="0"/>
          <w:sz w:val="28"/>
          <w:szCs w:val="28"/>
        </w:rPr>
        <w:t xml:space="preserve"> 人：</w:t>
      </w:r>
      <w:r>
        <w:rPr>
          <w:kern w:val="0"/>
          <w:sz w:val="28"/>
          <w:szCs w:val="28"/>
          <w:u w:val="single"/>
        </w:rPr>
        <w:t xml:space="preserve">    </w:t>
      </w:r>
      <w:r>
        <w:rPr>
          <w:rFonts w:hint="eastAsia"/>
          <w:kern w:val="0"/>
          <w:sz w:val="28"/>
          <w:szCs w:val="28"/>
          <w:u w:val="single"/>
        </w:rPr>
        <w:t>黄  鹏</w:t>
      </w:r>
      <w:r>
        <w:rPr>
          <w:kern w:val="0"/>
          <w:sz w:val="28"/>
          <w:szCs w:val="28"/>
          <w:u w:val="single"/>
        </w:rPr>
        <w:t xml:space="preserve">                </w:t>
      </w: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widowControl/>
        <w:jc w:val="left"/>
        <w:rPr>
          <w:rFonts w:eastAsia="黑体"/>
          <w:b/>
          <w:bCs/>
          <w:kern w:val="44"/>
          <w:sz w:val="36"/>
          <w:szCs w:val="36"/>
        </w:rPr>
      </w:pPr>
      <w:r>
        <w:rPr>
          <w:rFonts w:eastAsia="黑体"/>
          <w:b/>
          <w:bCs/>
          <w:kern w:val="44"/>
          <w:sz w:val="36"/>
          <w:szCs w:val="36"/>
        </w:rPr>
        <w:br w:type="page"/>
      </w:r>
    </w:p>
    <w:p>
      <w:pPr>
        <w:keepNext/>
        <w:keepLines/>
        <w:pBdr>
          <w:bottom w:val="thickThinSmallGap" w:color="auto" w:sz="24" w:space="1"/>
        </w:pBdr>
        <w:spacing w:before="300" w:after="300" w:line="500" w:lineRule="exact"/>
        <w:jc w:val="center"/>
        <w:outlineLvl w:val="0"/>
        <w:rPr>
          <w:rFonts w:eastAsia="黑体"/>
          <w:b/>
          <w:bCs/>
          <w:kern w:val="44"/>
          <w:sz w:val="36"/>
          <w:szCs w:val="36"/>
        </w:rPr>
      </w:pPr>
      <w:r>
        <w:rPr>
          <w:rFonts w:ascii="方正小标宋简体" w:eastAsia="方正小标宋简体"/>
          <w:bCs/>
          <w:sz w:val="36"/>
          <w:szCs w:val="36"/>
        </w:rPr>
        <w:t>201</w:t>
      </w:r>
      <w:r>
        <w:rPr>
          <w:rFonts w:hint="eastAsia" w:ascii="方正小标宋简体" w:eastAsia="方正小标宋简体"/>
          <w:bCs/>
          <w:sz w:val="36"/>
          <w:szCs w:val="36"/>
        </w:rPr>
        <w:t>9</w:t>
      </w:r>
      <w:r>
        <w:rPr>
          <w:rFonts w:ascii="方正小标宋简体" w:eastAsia="方正小标宋简体"/>
          <w:bCs/>
          <w:sz w:val="36"/>
          <w:szCs w:val="36"/>
        </w:rPr>
        <w:t>级《</w:t>
      </w:r>
      <w:r>
        <w:rPr>
          <w:rFonts w:hint="eastAsia" w:ascii="方正小标宋简体" w:eastAsia="方正小标宋简体"/>
          <w:bCs/>
          <w:sz w:val="36"/>
          <w:szCs w:val="36"/>
        </w:rPr>
        <w:t>物流管理</w:t>
      </w:r>
      <w:r>
        <w:rPr>
          <w:rFonts w:ascii="方正小标宋简体" w:eastAsia="方正小标宋简体"/>
          <w:bCs/>
          <w:sz w:val="36"/>
          <w:szCs w:val="36"/>
        </w:rPr>
        <w:t>》</w:t>
      </w:r>
      <w:r>
        <w:rPr>
          <w:rFonts w:hint="eastAsia" w:ascii="方正小标宋简体" w:eastAsia="方正小标宋简体"/>
          <w:bCs/>
          <w:sz w:val="36"/>
          <w:szCs w:val="36"/>
        </w:rPr>
        <w:t>专业人才培养方案</w:t>
      </w:r>
    </w:p>
    <w:p>
      <w:pPr>
        <w:numPr>
          <w:ilvl w:val="0"/>
          <w:numId w:val="1"/>
        </w:num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专业名称及专业代码</w:t>
      </w:r>
    </w:p>
    <w:p>
      <w:pPr>
        <w:spacing w:line="360" w:lineRule="auto"/>
        <w:ind w:firstLine="480" w:firstLineChars="200"/>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bCs/>
          <w:sz w:val="24"/>
          <w:szCs w:val="24"/>
        </w:rPr>
        <w:t>专业名称：</w:t>
      </w:r>
      <w:r>
        <w:rPr>
          <w:rFonts w:hint="eastAsia" w:ascii="仿宋_GB2312" w:hAnsi="Times New Roman" w:eastAsia="仿宋_GB2312" w:cs="Times New Roman"/>
          <w:color w:val="000000" w:themeColor="text1"/>
          <w:sz w:val="24"/>
          <w:szCs w:val="24"/>
        </w:rPr>
        <w:t>物流管理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专业代码：</w:t>
      </w:r>
      <w:r>
        <w:rPr>
          <w:rFonts w:hint="eastAsia" w:ascii="仿宋_GB2312" w:hAnsi="Times New Roman" w:eastAsia="仿宋_GB2312" w:cs="Times New Roman"/>
          <w:bCs/>
          <w:color w:val="000000" w:themeColor="text1"/>
          <w:sz w:val="24"/>
          <w:szCs w:val="24"/>
        </w:rPr>
        <w:t>630903</w:t>
      </w:r>
    </w:p>
    <w:p>
      <w:pPr>
        <w:numPr>
          <w:ilvl w:val="0"/>
          <w:numId w:val="2"/>
        </w:num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入学要求</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高中阶段教育毕业生或具有同等学力者。</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三、修业年限</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本校实行弹性学制，允许学生提前或延迟毕业。各专业一般修业年限为三年，修业年限最长不得超过九年（从入学时开始计算）。</w:t>
      </w:r>
    </w:p>
    <w:p>
      <w:pPr>
        <w:spacing w:line="360" w:lineRule="auto"/>
        <w:ind w:left="420" w:leftChars="200" w:firstLine="280" w:firstLineChars="1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四、职业面向</w:t>
      </w:r>
    </w:p>
    <w:tbl>
      <w:tblPr>
        <w:tblStyle w:val="26"/>
        <w:tblW w:w="8527"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2"/>
        <w:gridCol w:w="1087"/>
        <w:gridCol w:w="1200"/>
        <w:gridCol w:w="1125"/>
        <w:gridCol w:w="147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blCellSpacing w:w="0" w:type="dxa"/>
          <w:jc w:val="center"/>
        </w:trPr>
        <w:tc>
          <w:tcPr>
            <w:tcW w:w="2242" w:type="dxa"/>
            <w:tcMar>
              <w:left w:w="105" w:type="dxa"/>
              <w:right w:w="105" w:type="dxa"/>
            </w:tcMar>
            <w:vAlign w:val="center"/>
          </w:tcPr>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所属专业大类（代码）</w:t>
            </w:r>
          </w:p>
        </w:tc>
        <w:tc>
          <w:tcPr>
            <w:tcW w:w="1087" w:type="dxa"/>
            <w:tcMar>
              <w:left w:w="105" w:type="dxa"/>
              <w:right w:w="105" w:type="dxa"/>
            </w:tcMar>
            <w:vAlign w:val="center"/>
          </w:tcPr>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所属专业类</w:t>
            </w:r>
          </w:p>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（代码）</w:t>
            </w:r>
          </w:p>
        </w:tc>
        <w:tc>
          <w:tcPr>
            <w:tcW w:w="1200" w:type="dxa"/>
            <w:tcMar>
              <w:left w:w="105" w:type="dxa"/>
              <w:right w:w="105" w:type="dxa"/>
            </w:tcMar>
            <w:vAlign w:val="center"/>
          </w:tcPr>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对应</w:t>
            </w:r>
          </w:p>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行业</w:t>
            </w:r>
          </w:p>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（代码）</w:t>
            </w:r>
          </w:p>
        </w:tc>
        <w:tc>
          <w:tcPr>
            <w:tcW w:w="1125" w:type="dxa"/>
            <w:tcMar>
              <w:left w:w="105" w:type="dxa"/>
              <w:right w:w="105" w:type="dxa"/>
            </w:tcMar>
            <w:vAlign w:val="center"/>
          </w:tcPr>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主要职业类别</w:t>
            </w:r>
          </w:p>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（代码）</w:t>
            </w:r>
          </w:p>
        </w:tc>
        <w:tc>
          <w:tcPr>
            <w:tcW w:w="1470" w:type="dxa"/>
            <w:tcMar>
              <w:left w:w="105" w:type="dxa"/>
              <w:right w:w="105" w:type="dxa"/>
            </w:tcMar>
            <w:vAlign w:val="center"/>
          </w:tcPr>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主要岗位类别（或技术领域）</w:t>
            </w:r>
          </w:p>
        </w:tc>
        <w:tc>
          <w:tcPr>
            <w:tcW w:w="1403" w:type="dxa"/>
            <w:tcMar>
              <w:left w:w="105" w:type="dxa"/>
              <w:right w:w="105" w:type="dxa"/>
            </w:tcMar>
            <w:vAlign w:val="center"/>
          </w:tcPr>
          <w:p>
            <w:pPr>
              <w:widowControl/>
              <w:spacing w:line="360" w:lineRule="atLeast"/>
              <w:jc w:val="center"/>
              <w:rPr>
                <w:rFonts w:ascii="Times New Roman" w:hAnsi="Times New Roman" w:eastAsia="宋体" w:cs="Times New Roman"/>
                <w:b/>
                <w:bCs/>
                <w:color w:val="000000" w:themeColor="text1"/>
                <w:kern w:val="0"/>
                <w:szCs w:val="21"/>
              </w:rPr>
            </w:pPr>
            <w:r>
              <w:rPr>
                <w:rFonts w:hint="eastAsia" w:ascii="宋体" w:hAnsi="宋体" w:eastAsia="宋体" w:cs="宋体"/>
                <w:b/>
                <w:bCs/>
                <w:color w:val="000000" w:themeColor="text1"/>
                <w:kern w:val="0"/>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tblCellSpacing w:w="0" w:type="dxa"/>
          <w:jc w:val="center"/>
        </w:trPr>
        <w:tc>
          <w:tcPr>
            <w:tcW w:w="2242" w:type="dxa"/>
            <w:tcMar>
              <w:left w:w="105" w:type="dxa"/>
              <w:right w:w="10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lang w:eastAsia="zh-CN"/>
              </w:rPr>
              <w:t>财经贸易大类（</w:t>
            </w:r>
            <w:r>
              <w:rPr>
                <w:rFonts w:hint="eastAsia" w:ascii="宋体" w:hAnsi="宋体" w:eastAsia="宋体" w:cs="宋体"/>
                <w:color w:val="000000"/>
                <w:szCs w:val="21"/>
                <w:lang w:val="en-US" w:eastAsia="zh-CN"/>
              </w:rPr>
              <w:t>63</w:t>
            </w:r>
            <w:r>
              <w:rPr>
                <w:rFonts w:hint="eastAsia" w:ascii="宋体" w:hAnsi="宋体" w:eastAsia="宋体" w:cs="宋体"/>
                <w:color w:val="000000"/>
                <w:szCs w:val="21"/>
                <w:lang w:eastAsia="zh-CN"/>
              </w:rPr>
              <w:t>）</w:t>
            </w:r>
          </w:p>
        </w:tc>
        <w:tc>
          <w:tcPr>
            <w:tcW w:w="1087" w:type="dxa"/>
            <w:tcMar>
              <w:left w:w="105" w:type="dxa"/>
              <w:right w:w="105" w:type="dxa"/>
            </w:tcMar>
            <w:vAlign w:val="center"/>
          </w:tcPr>
          <w:p>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物流类</w:t>
            </w:r>
          </w:p>
          <w:p>
            <w:pPr>
              <w:jc w:val="both"/>
              <w:rPr>
                <w:rFonts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6309</w:t>
            </w:r>
            <w:r>
              <w:rPr>
                <w:rFonts w:hint="eastAsia" w:ascii="宋体" w:hAnsi="宋体" w:eastAsia="宋体" w:cs="宋体"/>
                <w:color w:val="000000"/>
                <w:szCs w:val="21"/>
                <w:lang w:eastAsia="zh-CN"/>
              </w:rPr>
              <w:t>）</w:t>
            </w:r>
          </w:p>
        </w:tc>
        <w:tc>
          <w:tcPr>
            <w:tcW w:w="1200" w:type="dxa"/>
            <w:tcMar>
              <w:left w:w="105" w:type="dxa"/>
              <w:right w:w="10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 xml:space="preserve">道路运输业（54）、多式联运和运输代理业（58）、装卸搬运和仓储业（59）  </w:t>
            </w:r>
          </w:p>
        </w:tc>
        <w:tc>
          <w:tcPr>
            <w:tcW w:w="1125" w:type="dxa"/>
            <w:tcMar>
              <w:left w:w="105" w:type="dxa"/>
              <w:right w:w="105" w:type="dxa"/>
            </w:tcMar>
            <w:vAlign w:val="center"/>
          </w:tcPr>
          <w:p>
            <w:pPr>
              <w:rPr>
                <w:rFonts w:ascii="宋体" w:hAnsi="宋体" w:eastAsia="宋体" w:cs="宋体"/>
                <w:color w:val="000000"/>
                <w:szCs w:val="21"/>
              </w:rPr>
            </w:pPr>
            <w:r>
              <w:rPr>
                <w:rFonts w:hint="eastAsia" w:ascii="宋体" w:hAnsi="宋体" w:eastAsia="宋体" w:cs="宋体"/>
                <w:color w:val="000000"/>
                <w:szCs w:val="21"/>
              </w:rPr>
              <w:t>管理（工业）工程技术人员（2-02-30）；</w:t>
            </w:r>
          </w:p>
          <w:p>
            <w:pPr>
              <w:rPr>
                <w:rFonts w:ascii="宋体" w:hAnsi="宋体" w:eastAsia="宋体" w:cs="宋体"/>
                <w:color w:val="000000"/>
                <w:szCs w:val="21"/>
              </w:rPr>
            </w:pPr>
            <w:r>
              <w:rPr>
                <w:rFonts w:hint="eastAsia" w:ascii="宋体" w:hAnsi="宋体" w:eastAsia="宋体" w:cs="宋体"/>
                <w:color w:val="000000"/>
                <w:szCs w:val="21"/>
              </w:rPr>
              <w:t>装卸搬运和运输代理服务人员（4-02-05）；仓储人员（4-02-06）</w:t>
            </w:r>
          </w:p>
        </w:tc>
        <w:tc>
          <w:tcPr>
            <w:tcW w:w="1470" w:type="dxa"/>
            <w:tcMar>
              <w:left w:w="105" w:type="dxa"/>
              <w:right w:w="105" w:type="dxa"/>
            </w:tcMar>
            <w:vAlign w:val="center"/>
          </w:tcPr>
          <w:p>
            <w:pPr>
              <w:rPr>
                <w:rFonts w:ascii="宋体" w:hAnsi="宋体" w:eastAsia="宋体" w:cs="宋体"/>
                <w:color w:val="000000"/>
                <w:szCs w:val="21"/>
              </w:rPr>
            </w:pPr>
            <w:r>
              <w:rPr>
                <w:rFonts w:hint="eastAsia" w:ascii="宋体" w:hAnsi="宋体" w:eastAsia="宋体" w:cs="宋体"/>
                <w:color w:val="000000"/>
                <w:szCs w:val="21"/>
              </w:rPr>
              <w:t>仓储主管；运输主管；物流销售主管；物流客户服务主管；生产车间主管</w:t>
            </w:r>
          </w:p>
        </w:tc>
        <w:tc>
          <w:tcPr>
            <w:tcW w:w="1403" w:type="dxa"/>
            <w:tcMar>
              <w:left w:w="105" w:type="dxa"/>
              <w:right w:w="105" w:type="dxa"/>
            </w:tcMar>
            <w:vAlign w:val="center"/>
          </w:tcPr>
          <w:p>
            <w:pPr>
              <w:rPr>
                <w:rFonts w:ascii="宋体" w:hAnsi="宋体" w:eastAsia="宋体" w:cs="宋体"/>
                <w:color w:val="000000"/>
                <w:szCs w:val="21"/>
              </w:rPr>
            </w:pPr>
            <w:r>
              <w:rPr>
                <w:rFonts w:hint="eastAsia" w:ascii="宋体" w:hAnsi="宋体" w:eastAsia="宋体" w:cs="宋体"/>
                <w:color w:val="000000"/>
                <w:szCs w:val="21"/>
              </w:rPr>
              <w:t>三级助理物流师</w:t>
            </w:r>
          </w:p>
        </w:tc>
      </w:tr>
    </w:tbl>
    <w:p>
      <w:pPr>
        <w:widowControl/>
        <w:spacing w:line="450" w:lineRule="atLeast"/>
        <w:jc w:val="left"/>
        <w:rPr>
          <w:rFonts w:ascii="仿宋_GB2312" w:hAnsi="Times New Roman" w:eastAsia="仿宋_GB2312" w:cs="Times New Roman"/>
          <w:bCs/>
          <w:color w:val="FF0000"/>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五、培养目标和培养规格</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Cs/>
          <w:color w:val="FF0000"/>
          <w:sz w:val="24"/>
          <w:szCs w:val="24"/>
        </w:rPr>
        <w:t xml:space="preserve"> </w:t>
      </w:r>
      <w:r>
        <w:rPr>
          <w:rFonts w:hint="eastAsia" w:ascii="仿宋_GB2312" w:hAnsi="Times New Roman" w:eastAsia="仿宋_GB2312" w:cs="Times New Roman"/>
          <w:b/>
          <w:sz w:val="24"/>
          <w:szCs w:val="24"/>
        </w:rPr>
        <w:t>（一）培养目标</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培养思想政治坚定、 德技并修、全面发展， 具有一定的科学文化水平、良好的职业道德和工匠精神、 掌握</w:t>
      </w:r>
      <w:r>
        <w:rPr>
          <w:rFonts w:hint="eastAsia" w:ascii="仿宋_GB2312" w:hAnsi="仿宋_GB2312" w:eastAsia="仿宋_GB2312" w:cs="仿宋_GB2312"/>
          <w:sz w:val="24"/>
        </w:rPr>
        <w:t>采购管理技术、仓储管理技术、包装技术、配送技术、运输技术、单证制作与供应链管理等</w:t>
      </w:r>
      <w:r>
        <w:rPr>
          <w:rFonts w:hint="eastAsia" w:ascii="仿宋_GB2312" w:hAnsi="Times New Roman" w:eastAsia="仿宋_GB2312" w:cs="Times New Roman"/>
          <w:bCs/>
          <w:color w:val="000000" w:themeColor="text1"/>
          <w:sz w:val="24"/>
          <w:szCs w:val="24"/>
        </w:rPr>
        <w:t>专业技术技能，具备认知能力、合作能力、创新能力、职业能力等支撑终身发展、适应时代要求的关键能力， 具有较强的就业创业能力，面向</w:t>
      </w:r>
      <w:r>
        <w:rPr>
          <w:rFonts w:hint="eastAsia" w:ascii="仿宋_GB2312" w:hAnsi="仿宋_GB2312" w:eastAsia="仿宋_GB2312" w:cs="仿宋_GB2312"/>
          <w:sz w:val="24"/>
        </w:rPr>
        <w:t>物流企业、工商企业、货代公司、配送中心、港口、货物集散中心和物流园区、物流管理咨询公司等企业</w:t>
      </w:r>
      <w:r>
        <w:rPr>
          <w:rFonts w:hint="eastAsia" w:ascii="仿宋_GB2312" w:hAnsi="Times New Roman" w:eastAsia="仿宋_GB2312" w:cs="Times New Roman"/>
          <w:bCs/>
          <w:color w:val="000000" w:themeColor="text1"/>
          <w:sz w:val="24"/>
          <w:szCs w:val="24"/>
        </w:rPr>
        <w:t>领域，能够从事</w:t>
      </w:r>
      <w:r>
        <w:rPr>
          <w:rFonts w:hint="eastAsia" w:ascii="仿宋_GB2312" w:hAnsi="仿宋_GB2312" w:eastAsia="仿宋_GB2312" w:cs="仿宋_GB2312"/>
          <w:sz w:val="24"/>
        </w:rPr>
        <w:t>采购、仓储、包装、配送、运输、规划等物流业务运作管理、物流服务咨询与策划、供应链管理以及物流系统规划与设计等工作</w:t>
      </w:r>
      <w:r>
        <w:rPr>
          <w:rFonts w:hint="eastAsia" w:ascii="仿宋_GB2312" w:hAnsi="仿宋_GB2312" w:eastAsia="仿宋_GB2312" w:cs="仿宋_GB2312"/>
          <w:bCs/>
          <w:color w:val="000000" w:themeColor="text1"/>
          <w:sz w:val="24"/>
          <w:szCs w:val="24"/>
        </w:rPr>
        <w:t>的高素质劳动者和技术技能人才。</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（二）培养规格</w:t>
      </w:r>
    </w:p>
    <w:p>
      <w:pPr>
        <w:spacing w:line="360" w:lineRule="auto"/>
        <w:ind w:firstLine="480" w:firstLineChars="200"/>
        <w:rPr>
          <w:rFonts w:ascii="仿宋_GB2312" w:hAnsi="Times New Roman" w:eastAsia="仿宋_GB2312" w:cs="Times New Roman"/>
          <w:bCs/>
          <w:color w:val="FF0000"/>
          <w:sz w:val="24"/>
          <w:szCs w:val="24"/>
        </w:rPr>
      </w:pPr>
      <w:r>
        <w:rPr>
          <w:rFonts w:hint="eastAsia" w:ascii="仿宋_GB2312" w:hAnsi="Times New Roman" w:eastAsia="仿宋_GB2312" w:cs="Times New Roman"/>
          <w:bCs/>
          <w:color w:val="FF0000"/>
          <w:sz w:val="24"/>
          <w:szCs w:val="24"/>
        </w:rPr>
        <w:t xml:space="preserve"> </w:t>
      </w:r>
      <w:r>
        <w:rPr>
          <w:rFonts w:hint="eastAsia" w:ascii="仿宋_GB2312" w:hAnsi="Times New Roman" w:eastAsia="仿宋_GB2312" w:cs="Times New Roman"/>
          <w:b/>
          <w:sz w:val="24"/>
          <w:szCs w:val="24"/>
        </w:rPr>
        <w:t>1.素质</w:t>
      </w:r>
      <w:r>
        <w:rPr>
          <w:rFonts w:hint="eastAsia" w:ascii="仿宋_GB2312" w:hAnsi="Times New Roman" w:eastAsia="仿宋_GB2312" w:cs="Times New Roman"/>
          <w:color w:val="FF0000"/>
          <w:sz w:val="24"/>
          <w:szCs w:val="24"/>
        </w:rPr>
        <w:t xml:space="preserve"> </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（1）、思想政治素养：具有正确的世界观、人生观、价值观。坚决拥护中国共产党领导，树立中国特色社会主义共同理想，践行社会主义核心价值观， 具有爱国情感、国家认同感、中华民族自豪感， 遵守法律，遵规守纪， 具有社会责任感和参与意识。</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（2）、具有良好的职业道德和职业素养。 遵守、履行道德准则和行为规范； 尊重劳动、热爱劳动； 崇德向善、诚实守信、爱岗敬业，具有精益求精的工匠精神； 具有集体意识和团队合作精神， 具有质量意识、 绿色环保意识、安全意识、职业生涯规划意识等； 具有从事相关职业应具备的其他职业素养要求。</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（3）、具有良好的身心素质和人文素养。 达到《国家学生体质健康标准》要求， 具有健康的体魄和心理、健全的人格； 具有一定的审美和人文素养。</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2.知识</w:t>
      </w:r>
    </w:p>
    <w:p>
      <w:pPr>
        <w:spacing w:line="360" w:lineRule="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2.1.文化知识</w:t>
      </w:r>
    </w:p>
    <w:p>
      <w:pPr>
        <w:spacing w:line="360" w:lineRule="auto"/>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444444"/>
          <w:sz w:val="24"/>
          <w:szCs w:val="24"/>
        </w:rPr>
        <w:t>具有一定的道德法律知识</w:t>
      </w:r>
      <w:r>
        <w:rPr>
          <w:rFonts w:hint="eastAsia" w:ascii="仿宋_GB2312" w:hAnsi="仿宋_GB2312" w:eastAsia="仿宋_GB2312" w:cs="仿宋_GB2312"/>
          <w:color w:val="000000"/>
          <w:kern w:val="0"/>
          <w:sz w:val="24"/>
          <w:szCs w:val="24"/>
        </w:rPr>
        <w:t>；</w:t>
      </w:r>
    </w:p>
    <w:p>
      <w:pPr>
        <w:spacing w:line="360" w:lineRule="auto"/>
        <w:ind w:firstLine="480" w:firstLineChars="200"/>
        <w:rPr>
          <w:rFonts w:ascii="仿宋_GB2312" w:hAnsi="仿宋_GB2312" w:eastAsia="仿宋_GB2312" w:cs="仿宋_GB2312"/>
          <w:color w:val="444444"/>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444444"/>
          <w:sz w:val="24"/>
          <w:szCs w:val="24"/>
        </w:rPr>
        <w:t>一定的中文应用写作基本知识；</w:t>
      </w:r>
    </w:p>
    <w:p>
      <w:pPr>
        <w:spacing w:line="360" w:lineRule="auto"/>
        <w:ind w:firstLine="480" w:firstLineChars="200"/>
        <w:rPr>
          <w:rFonts w:ascii="仿宋_GB2312" w:hAnsi="仿宋_GB2312" w:eastAsia="仿宋_GB2312" w:cs="仿宋_GB2312"/>
          <w:color w:val="444444"/>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444444"/>
          <w:sz w:val="24"/>
          <w:szCs w:val="24"/>
        </w:rPr>
        <w:t>一定的应用数学知识；</w:t>
      </w:r>
    </w:p>
    <w:p>
      <w:pPr>
        <w:spacing w:line="360" w:lineRule="auto"/>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（4）一定的心理健康与体育知识；</w:t>
      </w:r>
    </w:p>
    <w:p>
      <w:pPr>
        <w:spacing w:line="360" w:lineRule="auto"/>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（5）计算机基础知识 。</w:t>
      </w:r>
    </w:p>
    <w:p>
      <w:pPr>
        <w:spacing w:line="360" w:lineRule="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2.2.专业知识</w:t>
      </w:r>
    </w:p>
    <w:p>
      <w:pPr>
        <w:spacing w:line="360" w:lineRule="auto"/>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（1）具有从事仓储、运输、配送、供应链管理、生产运作管理、采购实务和信息管理等方面的知识。</w:t>
      </w:r>
    </w:p>
    <w:p>
      <w:pPr>
        <w:spacing w:line="360" w:lineRule="auto"/>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（2）掌握与专业相关的物流业务运作知识，熟练进行相关物流软件的操作及物流业务基层管理；</w:t>
      </w:r>
    </w:p>
    <w:p>
      <w:pPr>
        <w:spacing w:line="360" w:lineRule="auto"/>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（3）熟悉与物流管理有关的方针、政策和法规。</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3.能力</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sz w:val="24"/>
          <w:szCs w:val="24"/>
        </w:rPr>
        <w:t xml:space="preserve"> </w:t>
      </w:r>
      <w:r>
        <w:rPr>
          <w:rFonts w:hint="eastAsia" w:ascii="仿宋_GB2312" w:hAnsi="Times New Roman" w:eastAsia="仿宋_GB2312" w:cs="Times New Roman"/>
          <w:bCs/>
          <w:color w:val="000000" w:themeColor="text1"/>
          <w:sz w:val="24"/>
          <w:szCs w:val="24"/>
        </w:rPr>
        <w:t>3.1专业技术技能能力</w:t>
      </w:r>
    </w:p>
    <w:p>
      <w:pPr>
        <w:pStyle w:val="23"/>
        <w:spacing w:before="0" w:beforeAutospacing="0" w:after="0" w:afterAutospacing="0"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（1）物流设施设备应用能力</w:t>
      </w:r>
    </w:p>
    <w:p>
      <w:pPr>
        <w:pStyle w:val="23"/>
        <w:spacing w:before="0" w:beforeAutospacing="0" w:after="0" w:afterAutospacing="0"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 xml:space="preserve">具有熟练操作叉车、行车、起重机、货架、RF手持终端、电子标签、打包机等物流设施设备的能力；   </w:t>
      </w:r>
    </w:p>
    <w:p>
      <w:pPr>
        <w:pStyle w:val="23"/>
        <w:spacing w:before="0" w:beforeAutospacing="0" w:after="0" w:afterAutospacing="0"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（2）物流软件应用与业务的操作能力</w:t>
      </w:r>
    </w:p>
    <w:p>
      <w:pPr>
        <w:pStyle w:val="23"/>
        <w:spacing w:before="0" w:beforeAutospacing="0" w:after="0" w:afterAutospacing="0"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具有熟练使用仓储、运输等管理软件及ERP沙盘模拟系统的能力。能够完成入库、盘点、保管保养、出库、运输、配送及生产企业业务流程的相关操作。在仓储技能方面能够完成：货物接运；收货验货；货物入库；装卸搬运与堆码；货物入库信息处理；货物在库保管保养；商品盘点；商品出库等。 </w:t>
      </w:r>
    </w:p>
    <w:p>
      <w:pPr>
        <w:pStyle w:val="23"/>
        <w:numPr>
          <w:ilvl w:val="0"/>
          <w:numId w:val="3"/>
        </w:numPr>
        <w:spacing w:before="0" w:beforeAutospacing="0" w:after="0" w:afterAutospacing="0"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物流配送技能能力</w:t>
      </w:r>
    </w:p>
    <w:p>
      <w:pPr>
        <w:pStyle w:val="23"/>
        <w:spacing w:before="0" w:beforeAutospacing="0" w:after="0" w:afterAutospacing="0"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在配送技能方面能够完成：客户订单的采集与汇总；拣选、分拣与配货；流通加工；装车配载与车辆调度；送货与送达服务；车辆返程的合理安排；客户退货处理；补货作业、装卸搬运等。 </w:t>
      </w:r>
    </w:p>
    <w:p>
      <w:pPr>
        <w:pStyle w:val="23"/>
        <w:numPr>
          <w:ilvl w:val="0"/>
          <w:numId w:val="3"/>
        </w:numPr>
        <w:spacing w:before="0" w:beforeAutospacing="0" w:after="0" w:afterAutospacing="0"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运输技能能力</w:t>
      </w:r>
    </w:p>
    <w:p>
      <w:pPr>
        <w:pStyle w:val="23"/>
        <w:spacing w:before="0" w:beforeAutospacing="0" w:after="0" w:afterAutospacing="0"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在运输技能考核方面能够完成：物流运输合同的签订；运输计划的制定（铁路公路海运）；提货手续的办理；货物发运前的各项准备；货物在途的跟踪；货物交付与结算；货损处理；运输工具的维护与保养等。 </w:t>
      </w:r>
    </w:p>
    <w:p>
      <w:pPr>
        <w:pStyle w:val="23"/>
        <w:numPr>
          <w:ilvl w:val="0"/>
          <w:numId w:val="3"/>
        </w:numPr>
        <w:spacing w:before="0" w:beforeAutospacing="0" w:after="0" w:afterAutospacing="0"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物流信息处理能力</w:t>
      </w:r>
    </w:p>
    <w:p>
      <w:pPr>
        <w:pStyle w:val="23"/>
        <w:spacing w:before="0" w:beforeAutospacing="0" w:after="0" w:afterAutospacing="0" w:line="360" w:lineRule="auto"/>
        <w:ind w:firstLine="480" w:firstLineChars="200"/>
        <w:rPr>
          <w:rFonts w:ascii="仿宋_GB2312" w:hAnsi="仿宋_GB2312" w:eastAsia="仿宋_GB2312" w:cs="仿宋_GB2312"/>
          <w:color w:val="444444"/>
        </w:rPr>
      </w:pPr>
      <w:r>
        <w:rPr>
          <w:rFonts w:hint="eastAsia" w:ascii="仿宋_GB2312" w:hAnsi="仿宋_GB2312" w:eastAsia="仿宋_GB2312" w:cs="仿宋_GB2312"/>
          <w:color w:val="000000"/>
        </w:rPr>
        <w:t>在物流信息处理技能方面能够完成：物流单据的采集；物流单据的填写；物流单据的汇总；物流单据的分析；物流单据的存档</w:t>
      </w:r>
      <w:r>
        <w:rPr>
          <w:rFonts w:hint="eastAsia" w:ascii="仿宋_GB2312" w:hAnsi="仿宋_GB2312" w:eastAsia="仿宋_GB2312" w:cs="仿宋_GB2312"/>
          <w:color w:val="444444"/>
        </w:rPr>
        <w:t> </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3.2关键能力</w:t>
      </w:r>
    </w:p>
    <w:p>
      <w:pPr>
        <w:numPr>
          <w:ilvl w:val="0"/>
          <w:numId w:val="4"/>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独立思考能力</w:t>
      </w:r>
    </w:p>
    <w:p>
      <w:pPr>
        <w:spacing w:line="360" w:lineRule="auto"/>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 xml:space="preserve">    面对困难和问题，通过自行查询资料，分析问题、解决问题，提高思考问题能力，培养具独立思考能力的专业型人才</w:t>
      </w:r>
    </w:p>
    <w:p>
      <w:pPr>
        <w:numPr>
          <w:ilvl w:val="0"/>
          <w:numId w:val="4"/>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逻辑思维能力</w:t>
      </w:r>
    </w:p>
    <w:p>
      <w:pPr>
        <w:spacing w:line="360" w:lineRule="auto"/>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 xml:space="preserve">    具有敏锐的逻辑思维，思路清晰，解决实际生活中的问题</w:t>
      </w:r>
    </w:p>
    <w:p>
      <w:pPr>
        <w:numPr>
          <w:ilvl w:val="0"/>
          <w:numId w:val="4"/>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信息加工能力</w:t>
      </w:r>
    </w:p>
    <w:p>
      <w:pPr>
        <w:spacing w:line="360" w:lineRule="auto"/>
        <w:jc w:val="left"/>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 xml:space="preserve">   </w:t>
      </w:r>
      <w:r>
        <w:rPr>
          <w:rFonts w:hint="eastAsia" w:ascii="仿宋_GB2312" w:hAnsi="仿宋_GB2312" w:eastAsia="仿宋_GB2312" w:cs="仿宋_GB2312"/>
          <w:bCs/>
          <w:color w:val="000000" w:themeColor="text1"/>
          <w:sz w:val="24"/>
          <w:szCs w:val="24"/>
        </w:rPr>
        <w:t xml:space="preserve"> </w:t>
      </w:r>
      <w:r>
        <w:rPr>
          <w:rFonts w:hint="eastAsia" w:ascii="仿宋_GB2312" w:hAnsi="仿宋_GB2312" w:eastAsia="仿宋_GB2312" w:cs="仿宋_GB2312"/>
          <w:kern w:val="0"/>
          <w:sz w:val="24"/>
          <w:szCs w:val="24"/>
        </w:rPr>
        <w:t>能根据工作需要，熟练使用多种媒介和多种方式收集、整理、筛选、储存、提出各种信息，有效的完成物流管理的各方面工作。 </w:t>
      </w:r>
    </w:p>
    <w:p>
      <w:pPr>
        <w:numPr>
          <w:ilvl w:val="0"/>
          <w:numId w:val="4"/>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语言表达与文字写作能力</w:t>
      </w:r>
    </w:p>
    <w:p>
      <w:pPr>
        <w:spacing w:line="360" w:lineRule="auto"/>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 xml:space="preserve">    掌握物流客户服务技能与技巧，通过多读多练的方式提高自身的普通话水平，以多次模拟物流客户服务场景来提高自身的语言表达能力，认真研读物流管理的典型案例，提高文字写作能力，并运用在实际生活当中。</w:t>
      </w:r>
    </w:p>
    <w:p>
      <w:pPr>
        <w:numPr>
          <w:ilvl w:val="0"/>
          <w:numId w:val="4"/>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终身学习的意识和能力</w:t>
      </w:r>
    </w:p>
    <w:p>
      <w:pPr>
        <w:spacing w:line="360" w:lineRule="auto"/>
        <w:jc w:val="left"/>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 xml:space="preserve">   </w:t>
      </w:r>
      <w:r>
        <w:rPr>
          <w:rFonts w:hint="eastAsia" w:ascii="仿宋_GB2312" w:hAnsi="仿宋_GB2312" w:eastAsia="仿宋_GB2312" w:cs="仿宋_GB2312"/>
          <w:bCs/>
          <w:color w:val="000000" w:themeColor="text1"/>
          <w:sz w:val="24"/>
          <w:szCs w:val="24"/>
        </w:rPr>
        <w:t xml:space="preserve"> </w:t>
      </w:r>
      <w:r>
        <w:rPr>
          <w:rFonts w:hint="eastAsia" w:ascii="仿宋_GB2312" w:hAnsi="仿宋_GB2312" w:eastAsia="仿宋_GB2312" w:cs="仿宋_GB2312"/>
          <w:kern w:val="0"/>
          <w:sz w:val="24"/>
          <w:szCs w:val="24"/>
        </w:rPr>
        <w:t>养成良好的学习习惯，具有一定的抽象思维能力、形象思维能力、逻辑思维能力，掌握文献检索、资料查询的基本方法，具有较强的自学能力、独立工作能力和实践动手能力。 </w:t>
      </w:r>
    </w:p>
    <w:p>
      <w:pPr>
        <w:numPr>
          <w:ilvl w:val="0"/>
          <w:numId w:val="4"/>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自我管理能力</w:t>
      </w:r>
    </w:p>
    <w:p>
      <w:pPr>
        <w:spacing w:line="360" w:lineRule="auto"/>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 xml:space="preserve">   提高自我约束能力，抵制诱惑，以良好的心态自我管理，自主学习，自主研究物流管理专业知识，并为本专业的建设与发展提供有效的建议。</w:t>
      </w:r>
    </w:p>
    <w:p>
      <w:pPr>
        <w:numPr>
          <w:ilvl w:val="0"/>
          <w:numId w:val="4"/>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他人合作的能力</w:t>
      </w:r>
    </w:p>
    <w:p>
      <w:pPr>
        <w:spacing w:line="360" w:lineRule="auto"/>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 xml:space="preserve">    </w:t>
      </w:r>
      <w:r>
        <w:rPr>
          <w:rFonts w:hint="eastAsia" w:ascii="仿宋_GB2312" w:hAnsi="仿宋_GB2312" w:eastAsia="仿宋_GB2312" w:cs="仿宋_GB2312"/>
          <w:kern w:val="0"/>
          <w:sz w:val="24"/>
          <w:szCs w:val="24"/>
        </w:rPr>
        <w:t>具有良好的人际交往能力、团队合作精神和服务意识，包括遇到分歧时互相协调的能力，遇到困难时互相帮助的能力，有正确的择业观念，能够成功就业、创</w:t>
      </w:r>
      <w:r>
        <w:rPr>
          <w:kern w:val="0"/>
          <w:sz w:val="18"/>
          <w:szCs w:val="18"/>
        </w:rPr>
        <w:t>业。 </w:t>
      </w:r>
    </w:p>
    <w:p>
      <w:pPr>
        <w:numPr>
          <w:ilvl w:val="0"/>
          <w:numId w:val="4"/>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创新思维和创新创造能力</w:t>
      </w:r>
    </w:p>
    <w:p>
      <w:pPr>
        <w:spacing w:line="360" w:lineRule="auto"/>
        <w:rPr>
          <w:rFonts w:ascii="仿宋_GB2312" w:hAnsi="仿宋_GB2312" w:eastAsia="仿宋_GB2312" w:cs="仿宋_GB2312"/>
          <w:bCs/>
          <w:color w:val="000000" w:themeColor="text1"/>
          <w:sz w:val="24"/>
          <w:szCs w:val="24"/>
        </w:rPr>
      </w:pPr>
      <w:r>
        <w:rPr>
          <w:rFonts w:hint="eastAsia" w:ascii="仿宋_GB2312" w:hAnsi="Times New Roman" w:eastAsia="仿宋_GB2312" w:cs="Times New Roman"/>
          <w:bCs/>
          <w:color w:val="000000" w:themeColor="text1"/>
          <w:sz w:val="24"/>
          <w:szCs w:val="24"/>
        </w:rPr>
        <w:t xml:space="preserve">   </w:t>
      </w:r>
      <w:r>
        <w:rPr>
          <w:rFonts w:hint="eastAsia" w:ascii="仿宋_GB2312" w:hAnsi="仿宋_GB2312" w:eastAsia="仿宋_GB2312" w:cs="仿宋_GB2312"/>
          <w:kern w:val="0"/>
          <w:sz w:val="24"/>
          <w:szCs w:val="24"/>
        </w:rPr>
        <w:t>以敏锐的观察力发现问题，并提出解决问题的新思路、新方案和新方法</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六、课程设置及要求</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主要包括公共基础课程和专业课程。</w:t>
      </w:r>
    </w:p>
    <w:p>
      <w:pPr>
        <w:numPr>
          <w:ilvl w:val="0"/>
          <w:numId w:val="5"/>
        </w:num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公共基础课程</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军事技能、军事理论、</w:t>
      </w:r>
      <w:r>
        <w:rPr>
          <w:rFonts w:ascii="仿宋_GB2312" w:hAnsi="Times New Roman" w:eastAsia="仿宋_GB2312" w:cs="Times New Roman"/>
          <w:bCs/>
          <w:color w:val="000000" w:themeColor="text1"/>
          <w:sz w:val="24"/>
          <w:szCs w:val="24"/>
        </w:rPr>
        <w:t>美育课程、</w:t>
      </w:r>
      <w:r>
        <w:rPr>
          <w:rFonts w:hint="eastAsia" w:ascii="仿宋_GB2312" w:hAnsi="Times New Roman" w:eastAsia="仿宋_GB2312" w:cs="Times New Roman"/>
          <w:bCs/>
          <w:color w:val="000000" w:themeColor="text1"/>
          <w:sz w:val="24"/>
          <w:szCs w:val="24"/>
        </w:rPr>
        <w:t>大学生心理健康、职业生涯与规划、思想道德修养、计算机基础、等级英语、大学体育、财经应用文写作、创新创业教育、毛泽东思想和中国特色社会主义理论体系概论、形势与政策、</w:t>
      </w:r>
      <w:r>
        <w:rPr>
          <w:rFonts w:hint="eastAsia" w:ascii="仿宋_GB2312" w:hAnsi="Times New Roman" w:eastAsia="仿宋_GB2312" w:cs="Times New Roman"/>
          <w:bCs/>
          <w:sz w:val="24"/>
          <w:szCs w:val="24"/>
        </w:rPr>
        <w:t>培贤英语</w:t>
      </w:r>
      <w:r>
        <w:rPr>
          <w:rFonts w:hint="eastAsia" w:ascii="仿宋_GB2312" w:hAnsi="Times New Roman" w:eastAsia="仿宋_GB2312" w:cs="Times New Roman"/>
          <w:bCs/>
          <w:color w:val="000000" w:themeColor="text1"/>
          <w:sz w:val="24"/>
          <w:szCs w:val="24"/>
        </w:rPr>
        <w:t>。</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公共基础课设置及进程安排表（共计41学分，占总学时</w:t>
      </w:r>
      <w:r>
        <w:rPr>
          <w:rFonts w:hint="eastAsia" w:ascii="仿宋_GB2312" w:hAnsi="Times New Roman" w:eastAsia="仿宋_GB2312" w:cs="Times New Roman"/>
          <w:b/>
          <w:sz w:val="24"/>
          <w:szCs w:val="24"/>
          <w:lang w:val="en-US" w:eastAsia="zh-CN"/>
        </w:rPr>
        <w:t>32.98</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军事技能</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vAlign w:val="center"/>
          </w:tcPr>
          <w:p>
            <w:pPr>
              <w:jc w:val="center"/>
              <w:rPr>
                <w:rFonts w:ascii="宋体" w:hAnsi="宋体"/>
                <w:color w:val="000000" w:themeColor="text1"/>
                <w:sz w:val="20"/>
                <w:szCs w:val="20"/>
              </w:rPr>
            </w:pPr>
          </w:p>
        </w:tc>
        <w:tc>
          <w:tcPr>
            <w:tcW w:w="735" w:type="dxa"/>
            <w:vAlign w:val="center"/>
          </w:tcPr>
          <w:p>
            <w:pPr>
              <w:jc w:val="center"/>
              <w:rPr>
                <w:rFonts w:ascii="宋体" w:hAnsi="宋体"/>
                <w:color w:val="000000" w:themeColor="text1"/>
                <w:sz w:val="20"/>
                <w:szCs w:val="20"/>
                <w:highlight w:val="yellow"/>
              </w:rPr>
            </w:pPr>
          </w:p>
        </w:tc>
        <w:tc>
          <w:tcPr>
            <w:tcW w:w="963"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113/114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军事理论课1/2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308</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美育课程</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703" w:type="dxa"/>
            <w:vAlign w:val="center"/>
          </w:tcPr>
          <w:p>
            <w:pPr>
              <w:jc w:val="center"/>
              <w:rPr>
                <w:rFonts w:ascii="宋体" w:hAnsi="宋体" w:eastAsia="宋体" w:cs="Times New Roman"/>
                <w:sz w:val="15"/>
                <w:szCs w:val="15"/>
              </w:rPr>
            </w:pPr>
            <w:r>
              <w:rPr>
                <w:rFonts w:hint="eastAsia" w:ascii="宋体" w:hAnsi="宋体" w:eastAsia="宋体" w:cs="Times New Roman"/>
                <w:sz w:val="15"/>
                <w:szCs w:val="15"/>
              </w:rPr>
              <w:t>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106</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大学生心理健康</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108</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职业生涯与规划</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735"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105/205</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思想道德修养1/2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301/302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计算机基础1/2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ENG 141/142/144/134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等级英语A/B/C/B级英语</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GRD 201/202/203 </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大学体育1/2/3</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63" w:type="dxa"/>
            <w:vAlign w:val="center"/>
          </w:tcPr>
          <w:p>
            <w:pPr>
              <w:spacing w:line="360" w:lineRule="auto"/>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1、2、3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107</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财经应用文写作</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117</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创新创业教育</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306/401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毛泽东思想概论1/2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307/402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形势与政策1/2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培贤英语A</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144</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124</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培贤英语B</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128</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18</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110</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110</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培贤英语C</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54</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培贤英语D</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54</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培贤英语E</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38</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19</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泰语</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restart"/>
            <w:vAlign w:val="center"/>
          </w:tcPr>
          <w:p>
            <w:pPr>
              <w:shd w:val="clear" w:color="auto" w:fill="FFFFFF"/>
              <w:jc w:val="center"/>
              <w:rPr>
                <w:rFonts w:ascii="宋体" w:hAnsi="宋体" w:eastAsia="宋体" w:cs="Times New Roman"/>
                <w:sz w:val="18"/>
                <w:szCs w:val="18"/>
              </w:rPr>
            </w:pPr>
            <w:r>
              <w:rPr>
                <w:rFonts w:hint="eastAsia" w:ascii="宋体" w:hAnsi="宋体" w:eastAsia="宋体" w:cs="Times New Roman"/>
                <w:sz w:val="18"/>
                <w:szCs w:val="18"/>
              </w:rPr>
              <w:t>根据自己的课程灵活选修</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restart"/>
            <w:vAlign w:val="center"/>
          </w:tcPr>
          <w:p>
            <w:pPr>
              <w:shd w:val="clear" w:color="auto" w:fill="FFFFFF"/>
              <w:jc w:val="center"/>
              <w:rPr>
                <w:rFonts w:ascii="宋体" w:hAnsi="宋体" w:eastAsia="宋体" w:cs="Times New Roman"/>
                <w:kern w:val="0"/>
                <w:szCs w:val="21"/>
              </w:rPr>
            </w:pPr>
            <w:r>
              <w:rPr>
                <w:rFonts w:hint="eastAsia" w:ascii="宋体" w:hAnsi="宋体" w:eastAsia="宋体" w:cs="Times New Roman"/>
                <w:sz w:val="18"/>
                <w:szCs w:val="18"/>
              </w:rPr>
              <w:t>至少修够1分即可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越南语</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 </w:t>
            </w:r>
            <w:r>
              <w:rPr>
                <w:rFonts w:ascii="宋体" w:hAnsi="宋体" w:cs="宋体"/>
                <w:color w:val="000000" w:themeColor="text1"/>
                <w:kern w:val="0"/>
                <w:sz w:val="20"/>
                <w:szCs w:val="20"/>
                <w:lang w:bidi="ar"/>
              </w:rPr>
              <w:t>14</w:t>
            </w:r>
            <w:r>
              <w:rPr>
                <w:rFonts w:ascii="宋体" w:hAnsi="宋体" w:cs="宋体"/>
                <w:color w:val="000000" w:themeColor="text1"/>
                <w:kern w:val="0"/>
                <w:sz w:val="20"/>
                <w:szCs w:val="20"/>
                <w:lang w:bidi="ar"/>
              </w:rPr>
              <w:tab/>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302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营养学</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舞蹈</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9</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105</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羽毛球</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103</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商务外交礼仪</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106</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职业道德</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1108</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440</w:t>
            </w: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668</w:t>
            </w:r>
          </w:p>
        </w:tc>
        <w:tc>
          <w:tcPr>
            <w:tcW w:w="708" w:type="dxa"/>
            <w:vAlign w:val="center"/>
          </w:tcPr>
          <w:p>
            <w:pPr>
              <w:jc w:val="center"/>
              <w:rPr>
                <w:rFonts w:ascii="宋体" w:hAnsi="宋体" w:eastAsia="宋体" w:cs="宋体"/>
                <w:szCs w:val="21"/>
              </w:rPr>
            </w:pPr>
            <w:r>
              <w:rPr>
                <w:rFonts w:hint="eastAsia" w:ascii="宋体" w:hAnsi="宋体" w:eastAsia="宋体" w:cs="宋体"/>
                <w:szCs w:val="21"/>
              </w:rPr>
              <w:t>41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2.公共基础课内容及要求</w:t>
      </w:r>
    </w:p>
    <w:tbl>
      <w:tblPr>
        <w:tblStyle w:val="1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0"/>
              </w:rPr>
            </w:pPr>
            <w:r>
              <w:rPr>
                <w:rFonts w:hint="eastAsia" w:ascii="宋体" w:hAnsi="宋体" w:eastAsia="宋体" w:cs="宋体"/>
                <w:b/>
                <w:color w:val="000000" w:themeColor="text1"/>
                <w:kern w:val="0"/>
                <w:sz w:val="20"/>
                <w:szCs w:val="20"/>
              </w:rPr>
              <w:t>序号</w:t>
            </w:r>
          </w:p>
        </w:tc>
        <w:tc>
          <w:tcPr>
            <w:tcW w:w="2155" w:type="dxa"/>
          </w:tcPr>
          <w:p>
            <w:pPr>
              <w:spacing w:line="360" w:lineRule="auto"/>
              <w:jc w:val="center"/>
              <w:rPr>
                <w:rFonts w:ascii="宋体" w:hAnsi="宋体" w:eastAsia="宋体" w:cs="宋体"/>
                <w:b/>
                <w:color w:val="000000" w:themeColor="text1"/>
                <w:kern w:val="0"/>
                <w:sz w:val="20"/>
                <w:szCs w:val="20"/>
              </w:rPr>
            </w:pPr>
            <w:r>
              <w:rPr>
                <w:rFonts w:hint="eastAsia" w:ascii="宋体" w:hAnsi="宋体" w:eastAsia="宋体" w:cs="宋体"/>
                <w:b/>
                <w:color w:val="000000" w:themeColor="text1"/>
                <w:kern w:val="0"/>
                <w:sz w:val="20"/>
                <w:szCs w:val="20"/>
              </w:rPr>
              <w:t>课程名称</w:t>
            </w:r>
          </w:p>
        </w:tc>
        <w:tc>
          <w:tcPr>
            <w:tcW w:w="5803" w:type="dxa"/>
          </w:tcPr>
          <w:p>
            <w:pPr>
              <w:spacing w:line="360" w:lineRule="auto"/>
              <w:jc w:val="center"/>
              <w:rPr>
                <w:rFonts w:ascii="宋体" w:hAnsi="宋体" w:eastAsia="宋体" w:cs="宋体"/>
                <w:b/>
                <w:color w:val="000000" w:themeColor="text1"/>
                <w:kern w:val="0"/>
                <w:sz w:val="20"/>
                <w:szCs w:val="20"/>
              </w:rPr>
            </w:pPr>
            <w:r>
              <w:rPr>
                <w:rFonts w:hint="eastAsia" w:ascii="宋体" w:hAnsi="宋体" w:eastAsia="宋体" w:cs="宋体"/>
                <w:b/>
                <w:color w:val="000000" w:themeColor="text1"/>
                <w:kern w:val="0"/>
                <w:sz w:val="20"/>
                <w:szCs w:val="20"/>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1</w:t>
            </w:r>
          </w:p>
        </w:tc>
        <w:tc>
          <w:tcPr>
            <w:tcW w:w="2155" w:type="dxa"/>
            <w:vAlign w:val="center"/>
          </w:tcPr>
          <w:p>
            <w:pPr>
              <w:jc w:val="center"/>
              <w:rPr>
                <w:rFonts w:ascii="宋体" w:hAnsi="宋体" w:eastAsia="宋体" w:cs="宋体"/>
                <w:bCs/>
                <w:color w:val="000000" w:themeColor="text1"/>
                <w:kern w:val="0"/>
                <w:sz w:val="18"/>
                <w:szCs w:val="18"/>
              </w:rPr>
            </w:pPr>
            <w:r>
              <w:rPr>
                <w:rFonts w:ascii="宋体" w:hAnsi="宋体" w:eastAsia="宋体" w:cs="宋体"/>
                <w:bCs/>
                <w:color w:val="000000" w:themeColor="text1"/>
                <w:kern w:val="0"/>
                <w:sz w:val="18"/>
                <w:szCs w:val="18"/>
              </w:rPr>
              <w:t>军事技能</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本课程的主要内容包括：共同条令教育与训练、射击与战术训练、防卫技能与战时防护训练、战备基础与应用训练。</w:t>
            </w:r>
          </w:p>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 xml:space="preserve">通过本课程的学习，让学生了解掌握基本军事技能，养成良好的军事素养，增强组织纪律观念，培养学生良好的战斗素养，提高学生安全防护能力，全面提升学生的综合军事素质。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2</w:t>
            </w:r>
          </w:p>
        </w:tc>
        <w:tc>
          <w:tcPr>
            <w:tcW w:w="2155" w:type="dxa"/>
            <w:vAlign w:val="center"/>
          </w:tcPr>
          <w:p>
            <w:pPr>
              <w:jc w:val="cente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军事理论</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本课程的主要内容包括：中国国防、国家安全、军事思想、现代战争、信息化装备。</w:t>
            </w:r>
          </w:p>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3</w:t>
            </w:r>
          </w:p>
        </w:tc>
        <w:tc>
          <w:tcPr>
            <w:tcW w:w="2155" w:type="dxa"/>
            <w:vAlign w:val="center"/>
          </w:tcPr>
          <w:p>
            <w:pPr>
              <w:jc w:val="center"/>
              <w:rPr>
                <w:rFonts w:ascii="宋体" w:hAnsi="宋体" w:eastAsia="宋体" w:cs="宋体"/>
                <w:bCs/>
                <w:color w:val="000000" w:themeColor="text1"/>
                <w:kern w:val="0"/>
                <w:sz w:val="18"/>
                <w:szCs w:val="18"/>
              </w:rPr>
            </w:pPr>
            <w:r>
              <w:rPr>
                <w:rFonts w:ascii="宋体" w:hAnsi="宋体" w:eastAsia="宋体" w:cs="宋体"/>
                <w:bCs/>
                <w:color w:val="000000" w:themeColor="text1"/>
                <w:kern w:val="0"/>
                <w:sz w:val="18"/>
                <w:szCs w:val="18"/>
              </w:rPr>
              <w:t>美育课程</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本课程主要内容包括认识美，体验美，感受美，欣赏美，创造美等的美学。采用实践教育来体现美的教育。</w:t>
            </w:r>
          </w:p>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4</w:t>
            </w:r>
          </w:p>
        </w:tc>
        <w:tc>
          <w:tcPr>
            <w:tcW w:w="2155" w:type="dxa"/>
            <w:vAlign w:val="center"/>
          </w:tcPr>
          <w:p>
            <w:pPr>
              <w:jc w:val="cente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大学生心理健康</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本课程的主要内容包括大学生心理健康的新观念、悦纳自我、控制调节情绪、塑造健全人格、积极适应环境、提升人际交往能力、学会恋爱、和生命教育等章节。</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5</w:t>
            </w:r>
          </w:p>
        </w:tc>
        <w:tc>
          <w:tcPr>
            <w:tcW w:w="2155" w:type="dxa"/>
            <w:vAlign w:val="center"/>
          </w:tcPr>
          <w:p>
            <w:pPr>
              <w:jc w:val="center"/>
              <w:rPr>
                <w:rFonts w:ascii="宋体" w:hAnsi="宋体" w:eastAsia="宋体" w:cs="宋体"/>
                <w:bCs/>
                <w:color w:val="000000" w:themeColor="text1"/>
                <w:kern w:val="0"/>
                <w:sz w:val="18"/>
                <w:szCs w:val="18"/>
              </w:rPr>
            </w:pPr>
            <w:r>
              <w:rPr>
                <w:rFonts w:ascii="宋体" w:hAnsi="宋体" w:eastAsia="宋体" w:cs="宋体"/>
                <w:bCs/>
                <w:color w:val="000000" w:themeColor="text1"/>
                <w:kern w:val="0"/>
                <w:sz w:val="18"/>
                <w:szCs w:val="18"/>
              </w:rPr>
              <w:t>职业生涯与规划</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本课程的主要内容包括认识职业生涯规划、制订职业生涯规划、职业素质的培养和职业能力的提升、就业准备、求职实践指导、就业权益的保护、创业教育、创业行动实施等内容。</w:t>
            </w:r>
          </w:p>
          <w:p>
            <w:pP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6</w:t>
            </w:r>
          </w:p>
        </w:tc>
        <w:tc>
          <w:tcPr>
            <w:tcW w:w="2155" w:type="dxa"/>
            <w:vAlign w:val="center"/>
          </w:tcPr>
          <w:p>
            <w:pPr>
              <w:jc w:val="cente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思想道德修养</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7</w:t>
            </w:r>
          </w:p>
        </w:tc>
        <w:tc>
          <w:tcPr>
            <w:tcW w:w="2155" w:type="dxa"/>
            <w:vAlign w:val="center"/>
          </w:tcPr>
          <w:p>
            <w:pPr>
              <w:jc w:val="cente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计算机基础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pP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8</w:t>
            </w:r>
          </w:p>
        </w:tc>
        <w:tc>
          <w:tcPr>
            <w:tcW w:w="2155" w:type="dxa"/>
            <w:vAlign w:val="center"/>
          </w:tcPr>
          <w:p>
            <w:pPr>
              <w:jc w:val="center"/>
              <w:rPr>
                <w:rFonts w:ascii="宋体" w:hAnsi="宋体" w:eastAsia="宋体" w:cs="宋体"/>
                <w:bCs/>
                <w:color w:val="000000" w:themeColor="text1"/>
                <w:kern w:val="0"/>
                <w:sz w:val="18"/>
                <w:szCs w:val="18"/>
              </w:rPr>
            </w:pPr>
            <w:r>
              <w:rPr>
                <w:rFonts w:ascii="宋体" w:hAnsi="宋体" w:eastAsia="宋体" w:cs="宋体"/>
                <w:bCs/>
                <w:color w:val="000000" w:themeColor="text1"/>
                <w:kern w:val="0"/>
                <w:sz w:val="18"/>
                <w:szCs w:val="18"/>
              </w:rPr>
              <w:t>等级英语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pP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9</w:t>
            </w:r>
          </w:p>
        </w:tc>
        <w:tc>
          <w:tcPr>
            <w:tcW w:w="2155" w:type="dxa"/>
            <w:vAlign w:val="center"/>
          </w:tcPr>
          <w:p>
            <w:pPr>
              <w:jc w:val="cente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大学体育</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本课程主要的内容有,体育基础、素质拓展、篮球、排球、羽毛球、武术（刀术）足球、田径（跑、跳）等。</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学习本课程，使学生掌握体育基础知识，基本体育技能和基础体育动作要领，提高学生身体素质，个人兴趣爱好，使学生在现代化、面向世界、面向未来，适应我国社会主义现代化建设和基础体育改革与发展的实际需要，德、智、体、美全面发展，基础宽厚，具有现代体育</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观念、良好的科学素养以及具有创新精神和实践能力，在社会中有一技之长。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10</w:t>
            </w:r>
          </w:p>
        </w:tc>
        <w:tc>
          <w:tcPr>
            <w:tcW w:w="2155" w:type="dxa"/>
            <w:vAlign w:val="center"/>
          </w:tcPr>
          <w:p>
            <w:pPr>
              <w:jc w:val="center"/>
              <w:rPr>
                <w:rFonts w:ascii="宋体" w:hAnsi="宋体" w:eastAsia="宋体" w:cs="宋体"/>
                <w:bCs/>
                <w:color w:val="000000" w:themeColor="text1"/>
                <w:kern w:val="0"/>
                <w:sz w:val="18"/>
                <w:szCs w:val="18"/>
              </w:rPr>
            </w:pPr>
            <w:r>
              <w:rPr>
                <w:rFonts w:ascii="宋体" w:hAnsi="宋体" w:eastAsia="宋体" w:cs="宋体"/>
                <w:bCs/>
                <w:color w:val="000000" w:themeColor="text1"/>
                <w:kern w:val="0"/>
                <w:sz w:val="18"/>
                <w:szCs w:val="18"/>
              </w:rPr>
              <w:t>财经应用文写作</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本课程的主要内容包括常用公务文书、常用事务文书、财经活动分析文书、财经调研文书财经契约文书、财经策划文书、财经信息文书、财经函电、财经诉讼文书、财经论文等。</w:t>
            </w:r>
          </w:p>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11</w:t>
            </w:r>
          </w:p>
        </w:tc>
        <w:tc>
          <w:tcPr>
            <w:tcW w:w="2155" w:type="dxa"/>
            <w:vAlign w:val="center"/>
          </w:tcPr>
          <w:p>
            <w:pPr>
              <w:jc w:val="center"/>
              <w:rPr>
                <w:rFonts w:ascii="宋体" w:hAnsi="宋体" w:eastAsia="宋体" w:cs="宋体"/>
                <w:bCs/>
                <w:color w:val="000000" w:themeColor="text1"/>
                <w:kern w:val="0"/>
                <w:sz w:val="18"/>
                <w:szCs w:val="18"/>
              </w:rPr>
            </w:pPr>
            <w:r>
              <w:rPr>
                <w:rFonts w:ascii="宋体" w:hAnsi="宋体" w:eastAsia="宋体" w:cs="宋体"/>
                <w:bCs/>
                <w:color w:val="000000" w:themeColor="text1"/>
                <w:kern w:val="0"/>
                <w:sz w:val="18"/>
                <w:szCs w:val="18"/>
              </w:rPr>
              <w:t>创新创业教育</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本课程的主要内容创意概述，创意理论基础，创意心理分析，市场竞争中的创意，创意人才，创意人才的培养，创新意识，创新能力，创新方法及技巧，创新人才的培养，创业教育，创业计划，创业团队等。</w:t>
            </w:r>
          </w:p>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通过本课程的学习，培养学生的三创意识，让他们勇于创新和超越，使学生在生活中能发现创新，创业的灵感，在未来的竞争中取得优势。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12</w:t>
            </w:r>
          </w:p>
        </w:tc>
        <w:tc>
          <w:tcPr>
            <w:tcW w:w="2155" w:type="dxa"/>
            <w:vAlign w:val="center"/>
          </w:tcPr>
          <w:p>
            <w:pPr>
              <w:jc w:val="cente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毛泽东思想和中国特色社会主义理论体系概论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13</w:t>
            </w:r>
          </w:p>
        </w:tc>
        <w:tc>
          <w:tcPr>
            <w:tcW w:w="2155" w:type="dxa"/>
            <w:vAlign w:val="center"/>
          </w:tcPr>
          <w:p>
            <w:pPr>
              <w:jc w:val="center"/>
              <w:rPr>
                <w:rFonts w:ascii="宋体" w:hAnsi="宋体" w:eastAsia="宋体" w:cs="宋体"/>
                <w:bCs/>
                <w:color w:val="000000" w:themeColor="text1"/>
                <w:kern w:val="0"/>
                <w:sz w:val="18"/>
                <w:szCs w:val="18"/>
              </w:rPr>
            </w:pPr>
            <w:r>
              <w:rPr>
                <w:rFonts w:hint="eastAsia" w:ascii="宋体" w:hAnsi="宋体" w:eastAsia="宋体" w:cs="宋体"/>
                <w:color w:val="000000" w:themeColor="text1"/>
                <w:kern w:val="0"/>
                <w:sz w:val="18"/>
                <w:szCs w:val="18"/>
              </w:rPr>
              <w:t>形势与政策</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14</w:t>
            </w:r>
          </w:p>
        </w:tc>
        <w:tc>
          <w:tcPr>
            <w:tcW w:w="2155" w:type="dxa"/>
            <w:vAlign w:val="center"/>
          </w:tcPr>
          <w:p>
            <w:pPr>
              <w:jc w:val="cente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培贤英语</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本课程主要内容有标准的英语语音、语调、基本的词汇句型及日常的不同语境下的句型表达等。</w:t>
            </w:r>
          </w:p>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通过本课程的学习，使学生可以掌握丰富的日常基本词汇、句型、问候的方式；如何进行自我介绍以及与其他人交朋友；食品、餐具、用餐的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到英语作为交流工具的目的。</w:t>
            </w:r>
          </w:p>
        </w:tc>
      </w:tr>
    </w:tbl>
    <w:p>
      <w:pPr>
        <w:spacing w:line="360" w:lineRule="auto"/>
        <w:ind w:firstLine="480" w:firstLineChars="200"/>
        <w:rPr>
          <w:rFonts w:ascii="仿宋_GB2312" w:hAnsi="Times New Roman" w:eastAsia="仿宋_GB2312" w:cs="Times New Roman"/>
          <w:bCs/>
          <w:color w:val="FF0000"/>
          <w:sz w:val="24"/>
          <w:szCs w:val="24"/>
        </w:rPr>
      </w:pPr>
    </w:p>
    <w:p>
      <w:pPr>
        <w:numPr>
          <w:ilvl w:val="0"/>
          <w:numId w:val="5"/>
        </w:numPr>
        <w:spacing w:before="240"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专业（技能）课程</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Cs/>
          <w:color w:val="FF0000"/>
          <w:sz w:val="24"/>
          <w:szCs w:val="24"/>
        </w:rPr>
        <w:t xml:space="preserve"> </w:t>
      </w:r>
      <w:r>
        <w:rPr>
          <w:rFonts w:hint="eastAsia" w:ascii="仿宋_GB2312" w:hAnsi="Times New Roman" w:eastAsia="仿宋_GB2312" w:cs="Times New Roman"/>
          <w:b/>
          <w:sz w:val="24"/>
          <w:szCs w:val="24"/>
        </w:rPr>
        <w:t>1. 专业基础课设置及进程安排表（共计2</w:t>
      </w:r>
      <w:r>
        <w:rPr>
          <w:rFonts w:hint="eastAsia" w:ascii="仿宋_GB2312" w:hAnsi="Times New Roman" w:eastAsia="仿宋_GB2312" w:cs="Times New Roman"/>
          <w:b/>
          <w:sz w:val="24"/>
          <w:szCs w:val="24"/>
          <w:lang w:val="en-US" w:eastAsia="zh-CN"/>
        </w:rPr>
        <w:t>2</w:t>
      </w:r>
      <w:r>
        <w:rPr>
          <w:rFonts w:hint="eastAsia" w:ascii="仿宋_GB2312" w:hAnsi="Times New Roman" w:eastAsia="仿宋_GB2312" w:cs="Times New Roman"/>
          <w:b/>
          <w:sz w:val="24"/>
          <w:szCs w:val="24"/>
        </w:rPr>
        <w:t>学分，占总学时</w:t>
      </w:r>
      <w:r>
        <w:rPr>
          <w:rFonts w:hint="eastAsia" w:ascii="仿宋_GB2312" w:hAnsi="Times New Roman" w:eastAsia="仿宋_GB2312" w:cs="Times New Roman"/>
          <w:bCs/>
          <w:sz w:val="24"/>
          <w:szCs w:val="24"/>
        </w:rPr>
        <w:t>1</w:t>
      </w:r>
      <w:r>
        <w:rPr>
          <w:rFonts w:hint="eastAsia" w:ascii="仿宋_GB2312" w:hAnsi="Times New Roman" w:eastAsia="仿宋_GB2312" w:cs="Times New Roman"/>
          <w:bCs/>
          <w:sz w:val="24"/>
          <w:szCs w:val="24"/>
          <w:lang w:val="en-US" w:eastAsia="zh-CN"/>
        </w:rPr>
        <w:t>1.43</w:t>
      </w:r>
      <w:r>
        <w:rPr>
          <w:rFonts w:hint="eastAsia" w:ascii="仿宋_GB2312" w:hAnsi="Times New Roman" w:eastAsia="仿宋_GB2312" w:cs="Times New Roman"/>
          <w:bCs/>
          <w:sz w:val="24"/>
          <w:szCs w:val="24"/>
        </w:rPr>
        <w:t>%</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98"/>
        <w:gridCol w:w="900"/>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98"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00"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OUW 101/</w:t>
            </w:r>
            <w:r>
              <w:t xml:space="preserve"> </w:t>
            </w:r>
            <w:r>
              <w:rPr>
                <w:rFonts w:ascii="宋体" w:hAnsi="宋体" w:cs="宋体"/>
                <w:color w:val="000000" w:themeColor="text1"/>
                <w:kern w:val="0"/>
                <w:sz w:val="20"/>
                <w:szCs w:val="20"/>
                <w:lang w:bidi="ar"/>
              </w:rPr>
              <w:t>OUW 102</w:t>
            </w:r>
          </w:p>
        </w:tc>
        <w:tc>
          <w:tcPr>
            <w:tcW w:w="2135" w:type="dxa"/>
            <w:vAlign w:val="center"/>
          </w:tcPr>
          <w:p>
            <w:pPr>
              <w:widowControl/>
              <w:jc w:val="center"/>
              <w:textAlignment w:val="center"/>
              <w:rPr>
                <w:rFonts w:asciiTheme="minorEastAsia" w:hAnsiTheme="minorEastAsia" w:cstheme="minorEastAsia"/>
                <w:color w:val="000000" w:themeColor="text1"/>
                <w:kern w:val="0"/>
                <w:sz w:val="18"/>
                <w:szCs w:val="18"/>
                <w:lang w:bidi="ar"/>
              </w:rPr>
            </w:pPr>
            <w:r>
              <w:rPr>
                <w:rFonts w:ascii="宋体" w:hAnsi="宋体" w:cs="宋体"/>
                <w:color w:val="000000" w:themeColor="text1"/>
                <w:kern w:val="0"/>
                <w:sz w:val="20"/>
                <w:szCs w:val="20"/>
                <w:lang w:bidi="ar"/>
              </w:rPr>
              <w:t>University English Writing Skills</w:t>
            </w:r>
            <w:r>
              <w:rPr>
                <w:rFonts w:hint="eastAsia" w:ascii="宋体" w:hAnsi="宋体" w:cs="宋体"/>
                <w:color w:val="000000" w:themeColor="text1"/>
                <w:kern w:val="0"/>
                <w:sz w:val="20"/>
                <w:szCs w:val="20"/>
                <w:lang w:bidi="ar"/>
              </w:rPr>
              <w:t xml:space="preserve"> (上）(下）</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64</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48</w:t>
            </w:r>
          </w:p>
        </w:tc>
        <w:tc>
          <w:tcPr>
            <w:tcW w:w="798"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eastAsia="宋体" w:cs="宋体"/>
                <w:color w:val="000000" w:themeColor="text1"/>
                <w:sz w:val="22"/>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OUP 101/OUP 102</w:t>
            </w:r>
          </w:p>
        </w:tc>
        <w:tc>
          <w:tcPr>
            <w:tcW w:w="2135" w:type="dxa"/>
            <w:vAlign w:val="center"/>
          </w:tcPr>
          <w:p>
            <w:pPr>
              <w:widowControl/>
              <w:jc w:val="center"/>
              <w:textAlignment w:val="center"/>
              <w:rPr>
                <w:rFonts w:asciiTheme="minorEastAsia" w:hAnsiTheme="minorEastAsia" w:cstheme="minorEastAsia"/>
                <w:color w:val="000000" w:themeColor="text1"/>
                <w:kern w:val="0"/>
                <w:sz w:val="18"/>
                <w:szCs w:val="18"/>
                <w:lang w:bidi="ar"/>
              </w:rPr>
            </w:pPr>
            <w:r>
              <w:rPr>
                <w:rFonts w:ascii="宋体" w:hAnsi="宋体" w:cs="宋体"/>
                <w:color w:val="000000" w:themeColor="text1"/>
                <w:kern w:val="0"/>
                <w:sz w:val="20"/>
                <w:szCs w:val="20"/>
                <w:lang w:bidi="ar"/>
              </w:rPr>
              <w:t xml:space="preserve">Presentation Skills Course  </w:t>
            </w:r>
            <w:r>
              <w:rPr>
                <w:rFonts w:hint="eastAsia" w:ascii="宋体" w:hAnsi="宋体" w:cs="宋体"/>
                <w:color w:val="000000" w:themeColor="text1"/>
                <w:kern w:val="0"/>
                <w:sz w:val="20"/>
                <w:szCs w:val="20"/>
                <w:lang w:bidi="ar"/>
              </w:rPr>
              <w:t>（上）（下）</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64</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48</w:t>
            </w:r>
          </w:p>
        </w:tc>
        <w:tc>
          <w:tcPr>
            <w:tcW w:w="798"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eastAsia="宋体" w:cs="宋体"/>
                <w:color w:val="000000" w:themeColor="text1"/>
                <w:sz w:val="22"/>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ACC 814 </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bCs/>
                <w:color w:val="000000" w:themeColor="text1"/>
                <w:kern w:val="0"/>
                <w:sz w:val="18"/>
                <w:szCs w:val="18"/>
              </w:rPr>
              <w:t>Introduction to Quantitative Methods (IQM)  定量分析概论</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9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  ABE 401</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Principles of Marketing Practice</w:t>
            </w:r>
          </w:p>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color w:val="000000" w:themeColor="text1"/>
                <w:kern w:val="0"/>
                <w:sz w:val="18"/>
                <w:szCs w:val="18"/>
              </w:rPr>
              <w:t xml:space="preserve"> (PMP)  营销实践原则</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ABE 404 </w:t>
            </w:r>
          </w:p>
        </w:tc>
        <w:tc>
          <w:tcPr>
            <w:tcW w:w="2135" w:type="dxa"/>
            <w:vAlign w:val="center"/>
          </w:tcPr>
          <w:p>
            <w:pPr>
              <w:jc w:val="center"/>
              <w:rPr>
                <w:rFonts w:asciiTheme="minorEastAsia" w:hAnsiTheme="minorEastAsia" w:cstheme="minorEastAsia"/>
                <w:bCs/>
                <w:color w:val="000000" w:themeColor="text1"/>
                <w:kern w:val="0"/>
                <w:sz w:val="18"/>
                <w:szCs w:val="18"/>
              </w:rPr>
            </w:pPr>
            <w:r>
              <w:rPr>
                <w:rFonts w:hint="eastAsia" w:asciiTheme="minorEastAsia" w:hAnsiTheme="minorEastAsia" w:cstheme="minorEastAsia"/>
                <w:bCs/>
                <w:color w:val="000000" w:themeColor="text1"/>
                <w:kern w:val="0"/>
                <w:sz w:val="18"/>
                <w:szCs w:val="18"/>
              </w:rPr>
              <w:t xml:space="preserve">Dynamic Business Environments </w:t>
            </w:r>
          </w:p>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bCs/>
                <w:color w:val="000000" w:themeColor="text1"/>
                <w:kern w:val="0"/>
                <w:sz w:val="18"/>
                <w:szCs w:val="18"/>
              </w:rPr>
              <w:t>(DBE)  动态商业环境</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405</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 xml:space="preserve">Enterprising Organisations </w:t>
            </w:r>
          </w:p>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color w:val="000000" w:themeColor="text1"/>
                <w:kern w:val="0"/>
                <w:sz w:val="18"/>
                <w:szCs w:val="18"/>
              </w:rPr>
              <w:t>(EO)  企业组织</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409</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International Business Economics and Markets</w:t>
            </w:r>
          </w:p>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color w:val="000000" w:themeColor="text1"/>
                <w:kern w:val="0"/>
                <w:sz w:val="18"/>
                <w:szCs w:val="18"/>
              </w:rPr>
              <w:t>(IBEM)  国际商业经济学和市场</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703" w:type="dxa"/>
            <w:vMerge w:val="restart"/>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HRM 815</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 xml:space="preserve">  </w:t>
            </w:r>
          </w:p>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 xml:space="preserve">Human Resource Management </w:t>
            </w:r>
          </w:p>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color w:val="000000" w:themeColor="text1"/>
                <w:kern w:val="0"/>
                <w:sz w:val="18"/>
                <w:szCs w:val="18"/>
              </w:rPr>
              <w:t>(HRM)  人力资源管理</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407</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color w:val="000000" w:themeColor="text1"/>
                <w:kern w:val="0"/>
                <w:sz w:val="18"/>
                <w:szCs w:val="18"/>
              </w:rPr>
              <w:t>Integrated Marketing Communications(IMC) 整合营销传播</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00" w:type="dxa"/>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408</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 xml:space="preserve">Buyer and Consumer Behaviour </w:t>
            </w:r>
          </w:p>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color w:val="000000" w:themeColor="text1"/>
                <w:kern w:val="0"/>
                <w:sz w:val="18"/>
                <w:szCs w:val="18"/>
              </w:rPr>
              <w:t>(BCB)   购买者和消费者行为学</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00" w:type="dxa"/>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bottom"/>
          </w:tcPr>
          <w:p>
            <w:pPr>
              <w:keepNext w:val="0"/>
              <w:keepLines w:val="0"/>
              <w:widowControl/>
              <w:suppressLineNumbers w:val="0"/>
              <w:jc w:val="center"/>
              <w:textAlignment w:val="bottom"/>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384</w:t>
            </w:r>
          </w:p>
        </w:tc>
        <w:tc>
          <w:tcPr>
            <w:tcW w:w="567" w:type="dxa"/>
            <w:vAlign w:val="bottom"/>
          </w:tcPr>
          <w:p>
            <w:pPr>
              <w:keepNext w:val="0"/>
              <w:keepLines w:val="0"/>
              <w:widowControl/>
              <w:suppressLineNumbers w:val="0"/>
              <w:jc w:val="center"/>
              <w:textAlignment w:val="bottom"/>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336</w:t>
            </w:r>
          </w:p>
        </w:tc>
        <w:tc>
          <w:tcPr>
            <w:tcW w:w="1698" w:type="dxa"/>
            <w:gridSpan w:val="2"/>
            <w:vAlign w:val="bottom"/>
          </w:tcPr>
          <w:p>
            <w:pPr>
              <w:keepNext w:val="0"/>
              <w:keepLines w:val="0"/>
              <w:widowControl/>
              <w:suppressLineNumbers w:val="0"/>
              <w:jc w:val="center"/>
              <w:textAlignment w:val="bottom"/>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48</w:t>
            </w:r>
          </w:p>
        </w:tc>
        <w:tc>
          <w:tcPr>
            <w:tcW w:w="708" w:type="dxa"/>
            <w:vAlign w:val="bottom"/>
          </w:tcPr>
          <w:p>
            <w:pPr>
              <w:keepNext w:val="0"/>
              <w:keepLines w:val="0"/>
              <w:widowControl/>
              <w:suppressLineNumbers w:val="0"/>
              <w:jc w:val="center"/>
              <w:textAlignment w:val="bottom"/>
              <w:rPr>
                <w:rFonts w:hint="default" w:ascii="宋体" w:hAnsi="宋体" w:eastAsia="宋体" w:cs="宋体"/>
                <w:szCs w:val="21"/>
                <w:lang w:val="en-US"/>
              </w:rPr>
            </w:pPr>
            <w:r>
              <w:rPr>
                <w:rFonts w:hint="eastAsia" w:ascii="宋体" w:hAnsi="宋体" w:eastAsia="宋体" w:cs="宋体"/>
                <w:i w:val="0"/>
                <w:color w:val="000000"/>
                <w:kern w:val="0"/>
                <w:sz w:val="22"/>
                <w:szCs w:val="22"/>
                <w:u w:val="none"/>
                <w:lang w:val="en-US" w:eastAsia="zh-CN" w:bidi="ar"/>
              </w:rPr>
              <w:t>22</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2.专业基础课内容及要求</w:t>
      </w:r>
    </w:p>
    <w:tbl>
      <w:tblPr>
        <w:tblStyle w:val="1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rPr>
                <w:rFonts w:ascii="宋体" w:hAnsi="宋体" w:eastAsia="宋体" w:cs="宋体"/>
                <w:bCs/>
                <w:color w:val="000000" w:themeColor="text1"/>
                <w:kern w:val="0"/>
                <w:sz w:val="20"/>
                <w:szCs w:val="21"/>
              </w:rPr>
            </w:pPr>
            <w:r>
              <w:rPr>
                <w:rFonts w:ascii="宋体" w:hAnsi="宋体" w:eastAsia="宋体" w:cs="宋体"/>
                <w:color w:val="000000" w:themeColor="text1"/>
                <w:kern w:val="0"/>
                <w:sz w:val="18"/>
                <w:szCs w:val="18"/>
              </w:rPr>
              <w:t>University</w:t>
            </w:r>
            <w:r>
              <w:rPr>
                <w:rFonts w:hint="eastAsia" w:ascii="宋体" w:hAnsi="宋体" w:eastAsia="宋体" w:cs="宋体"/>
                <w:color w:val="000000" w:themeColor="text1"/>
                <w:kern w:val="0"/>
                <w:sz w:val="18"/>
                <w:szCs w:val="18"/>
              </w:rPr>
              <w:t xml:space="preserve"> </w:t>
            </w:r>
            <w:r>
              <w:rPr>
                <w:rFonts w:ascii="宋体" w:hAnsi="宋体" w:eastAsia="宋体" w:cs="宋体"/>
                <w:color w:val="000000" w:themeColor="text1"/>
                <w:kern w:val="0"/>
                <w:sz w:val="18"/>
                <w:szCs w:val="18"/>
              </w:rPr>
              <w:t>English Writing Skills（</w:t>
            </w:r>
            <w:r>
              <w:rPr>
                <w:rFonts w:hint="eastAsia" w:ascii="宋体" w:hAnsi="宋体" w:eastAsia="宋体" w:cs="宋体"/>
                <w:color w:val="000000" w:themeColor="text1"/>
                <w:kern w:val="0"/>
                <w:sz w:val="18"/>
                <w:szCs w:val="18"/>
              </w:rPr>
              <w:t>大学英语写作课课程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color w:val="000000" w:themeColor="text1"/>
                <w:kern w:val="0"/>
                <w:sz w:val="18"/>
                <w:szCs w:val="18"/>
              </w:rPr>
              <w:t>Presentation Skills Course（</w:t>
            </w:r>
            <w:r>
              <w:rPr>
                <w:rFonts w:hint="eastAsia" w:ascii="宋体" w:hAnsi="宋体" w:eastAsia="宋体" w:cs="宋体"/>
                <w:color w:val="000000" w:themeColor="text1"/>
                <w:kern w:val="0"/>
                <w:sz w:val="18"/>
                <w:szCs w:val="18"/>
              </w:rPr>
              <w:t>大学演讲课课程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通过本课程的学习，学生可以熟悉多种情形下的英文演讲的架构与技巧，掌握在英文环境中进行主题鲜明、重点突出、逻辑清晰、结构合理、衔接顺畅的英语演讲技巧与能力。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Introduction to Quantitative Methods (IQM)  定量分析概论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通过本课程的学习使学生们理解统计学的基本原理，掌握统计学的基本方法，子定性分析基础上做好定量分析。用统计学的知识取“发现问题、分析问题和解决问题”</w:t>
            </w:r>
            <w:r>
              <w:rPr>
                <w:rFonts w:ascii="宋体" w:hAnsi="宋体" w:eastAsia="宋体" w:cs="宋体"/>
                <w:bCs/>
                <w:color w:val="000000" w:themeColor="text1"/>
                <w:kern w:val="0"/>
                <w:sz w:val="20"/>
                <w:szCs w:val="21"/>
              </w:rPr>
              <w:t xml:space="preserve"> </w:t>
            </w:r>
            <w:r>
              <w:rPr>
                <w:rFonts w:hint="eastAsia" w:ascii="宋体" w:hAnsi="宋体" w:eastAsia="宋体" w:cs="宋体"/>
                <w:bCs/>
                <w:color w:val="000000" w:themeColor="text1"/>
                <w:kern w:val="0"/>
                <w:sz w:val="20"/>
                <w:szCs w:val="21"/>
              </w:rPr>
              <w:t>，培养学生做数据统计、商业分析和市场预测的能力，以适应市场经济中各类问题的实证研究、科学决策和经济管理的需求。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Principles of Marketing Practice</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 xml:space="preserve"> (PMP)  营销实践原则</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该课程主要内容是介绍市场营销基本概念和基础知识。</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通过本课程的学习使学生们理解营销方法与技巧，掌握一定的营销理念，将理论与实际结合，具备解决实际赢下问题的能力。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 xml:space="preserve">Dynamic Business Environments </w:t>
            </w:r>
          </w:p>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(DBE)  动态商业环境</w:t>
            </w:r>
          </w:p>
        </w:tc>
        <w:tc>
          <w:tcPr>
            <w:tcW w:w="5803" w:type="dxa"/>
            <w:vAlign w:val="center"/>
          </w:tcPr>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该课程主要内容是关于商业的经济学观点、不同的经济制度、政府对企业商业的潜在影响、不同水平的市场竞争、供需关系以及需求的弹性、PESTLE分析法、SWOT分析法和企业内部环境的分析。</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Enterprising Organisations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(EO)  企业组织</w:t>
            </w:r>
          </w:p>
        </w:tc>
        <w:tc>
          <w:tcPr>
            <w:tcW w:w="5803" w:type="dxa"/>
            <w:vAlign w:val="center"/>
          </w:tcPr>
          <w:p>
            <w:pPr>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该课程主要内容是关于</w:t>
            </w:r>
            <w:r>
              <w:rPr>
                <w:rFonts w:hint="eastAsia" w:ascii="Verdana" w:hAnsi="Verdana" w:eastAsia="宋体" w:cs="Times New Roman"/>
                <w:color w:val="000000" w:themeColor="text1"/>
                <w:kern w:val="0"/>
                <w:sz w:val="18"/>
                <w:szCs w:val="18"/>
              </w:rPr>
              <w:t>企业组织结构的多种类型，能绘制最合适的组织结构，并展示不同组织因素之间的联系。组织结构类型以及企业组织的沟通方式，各职能之间的合作与冲突。</w:t>
            </w:r>
          </w:p>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通过本课程的学习使学生们理解</w:t>
            </w:r>
            <w:r>
              <w:rPr>
                <w:rFonts w:hint="eastAsia" w:ascii="Verdana" w:hAnsi="Verdana" w:eastAsia="宋体" w:cs="Times New Roman"/>
                <w:color w:val="000000" w:themeColor="text1"/>
                <w:kern w:val="0"/>
                <w:sz w:val="18"/>
                <w:szCs w:val="18"/>
              </w:rPr>
              <w:t>如何分析内外部因素对组织产生的影响；学会用使用一些分析理论分析企业环境。组织基础设施的概念和作用；能够在不同的组织范围内确定组织绩效的关键因素。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eastAsia" w:ascii="宋体" w:hAnsi="宋体" w:eastAsia="宋体" w:cs="宋体"/>
                <w:bCs/>
                <w:color w:val="000000" w:themeColor="text1"/>
                <w:kern w:val="0"/>
                <w:sz w:val="20"/>
                <w:szCs w:val="21"/>
                <w:lang w:eastAsia="zh-CN"/>
              </w:rPr>
            </w:pPr>
            <w:r>
              <w:rPr>
                <w:rFonts w:hint="eastAsia" w:ascii="宋体" w:hAnsi="宋体" w:eastAsia="宋体" w:cs="宋体"/>
                <w:bCs/>
                <w:color w:val="000000" w:themeColor="text1"/>
                <w:kern w:val="0"/>
                <w:sz w:val="20"/>
                <w:szCs w:val="21"/>
                <w:lang w:val="en-US" w:eastAsia="zh-CN"/>
              </w:rPr>
              <w:t>7</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International Business Economics and Markets</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(IBEM)  国际商业经济学和市场</w:t>
            </w:r>
          </w:p>
        </w:tc>
        <w:tc>
          <w:tcPr>
            <w:tcW w:w="5803" w:type="dxa"/>
            <w:vAlign w:val="center"/>
          </w:tcPr>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该课程主要内容是全面论述常见的国际市场状况及国际经济环境形势。</w:t>
            </w:r>
          </w:p>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通过本课程的学习使学生们理解常见的国际贸易原理和经理理论、国际市场规律、常见的国际金融机构及其运行方式。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eastAsia" w:ascii="宋体" w:hAnsi="宋体" w:eastAsia="宋体" w:cs="宋体"/>
                <w:bCs/>
                <w:color w:val="000000" w:themeColor="text1"/>
                <w:kern w:val="0"/>
                <w:sz w:val="20"/>
                <w:szCs w:val="21"/>
                <w:lang w:eastAsia="zh-CN"/>
              </w:rPr>
            </w:pPr>
            <w:r>
              <w:rPr>
                <w:rFonts w:hint="eastAsia" w:ascii="宋体" w:hAnsi="宋体" w:eastAsia="宋体" w:cs="宋体"/>
                <w:bCs/>
                <w:color w:val="000000" w:themeColor="text1"/>
                <w:kern w:val="0"/>
                <w:sz w:val="20"/>
                <w:szCs w:val="21"/>
                <w:lang w:val="en-US" w:eastAsia="zh-CN"/>
              </w:rPr>
              <w:t>8</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  </w:t>
            </w:r>
          </w:p>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Human Resource Management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(HRM)  人力资源管理</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通过本课程的学习使学生们理解现代人力资源开发与管理的专业知识；行政管理与文化建设的专业知识；具有分析解决人力资源战略管理、进行人力资源开发和管理的基本能力。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eastAsia" w:ascii="宋体" w:hAnsi="宋体" w:eastAsia="宋体" w:cs="宋体"/>
                <w:bCs/>
                <w:color w:val="000000" w:themeColor="text1"/>
                <w:kern w:val="0"/>
                <w:sz w:val="20"/>
                <w:szCs w:val="21"/>
                <w:lang w:eastAsia="zh-CN"/>
              </w:rPr>
            </w:pPr>
            <w:r>
              <w:rPr>
                <w:rFonts w:hint="eastAsia" w:ascii="宋体" w:hAnsi="宋体" w:eastAsia="宋体" w:cs="宋体"/>
                <w:bCs/>
                <w:color w:val="000000" w:themeColor="text1"/>
                <w:kern w:val="0"/>
                <w:sz w:val="20"/>
                <w:szCs w:val="21"/>
                <w:lang w:val="en-US" w:eastAsia="zh-CN"/>
              </w:rPr>
              <w:t>9</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Integrated Marketing Communications(IMC) 整合营销传播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该课程主要内容是解释整合营销传播基本概念及原理，综合介绍整合营销传播在实现品牌、市场营销和企业目标中的重要性。</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通过本课程的学习使学生们掌握如何在各种实际情况下实现整合营销传播, 同时了解客户行为, 媒体计划和品牌战略的相关知识。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default" w:ascii="宋体" w:hAnsi="宋体" w:eastAsia="宋体" w:cs="宋体"/>
                <w:bCs/>
                <w:color w:val="000000" w:themeColor="text1"/>
                <w:kern w:val="0"/>
                <w:sz w:val="20"/>
                <w:szCs w:val="21"/>
                <w:lang w:val="en-US" w:eastAsia="zh-CN"/>
              </w:rPr>
            </w:pPr>
            <w:r>
              <w:rPr>
                <w:rFonts w:hint="eastAsia" w:ascii="宋体" w:hAnsi="宋体" w:eastAsia="宋体" w:cs="宋体"/>
                <w:bCs/>
                <w:color w:val="000000" w:themeColor="text1"/>
                <w:kern w:val="0"/>
                <w:sz w:val="20"/>
                <w:szCs w:val="21"/>
                <w:lang w:val="en-US" w:eastAsia="zh-CN"/>
              </w:rPr>
              <w:t>10</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Buyer and Consumer Behaviour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(BCB)   购买者和消费者行为学</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bl>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Cs/>
          <w:sz w:val="24"/>
          <w:szCs w:val="24"/>
        </w:rPr>
        <w:t>3.</w:t>
      </w:r>
      <w:r>
        <w:rPr>
          <w:rFonts w:hint="eastAsia" w:ascii="仿宋_GB2312" w:hAnsi="Times New Roman" w:eastAsia="仿宋_GB2312" w:cs="Times New Roman"/>
          <w:b/>
          <w:sz w:val="24"/>
          <w:szCs w:val="24"/>
        </w:rPr>
        <w:t xml:space="preserve"> 专业核心课程设置及进程安排表（共计25学分，占总学时</w:t>
      </w:r>
      <w:r>
        <w:rPr>
          <w:rFonts w:hint="eastAsia" w:ascii="仿宋_GB2312" w:hAnsi="Times New Roman" w:eastAsia="仿宋_GB2312" w:cs="Times New Roman"/>
          <w:b/>
          <w:sz w:val="24"/>
          <w:szCs w:val="24"/>
          <w:lang w:val="en-US" w:eastAsia="zh-CN"/>
        </w:rPr>
        <w:t>13.81</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98"/>
        <w:gridCol w:w="900"/>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98"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00"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jc w:val="center"/>
              <w:rPr>
                <w:rFonts w:ascii="宋体" w:hAnsi="宋体" w:cs="宋体"/>
                <w:color w:val="000000" w:themeColor="text1"/>
                <w:kern w:val="0"/>
                <w:sz w:val="20"/>
                <w:szCs w:val="20"/>
                <w:lang w:bidi="ar"/>
              </w:rPr>
            </w:pPr>
            <w:r>
              <w:rPr>
                <w:rFonts w:hint="eastAsia"/>
              </w:rPr>
              <w:t xml:space="preserve"> LMT101</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sz w:val="18"/>
                <w:szCs w:val="18"/>
              </w:rPr>
              <w:t>现代物流管理基础</w:t>
            </w:r>
          </w:p>
        </w:tc>
        <w:tc>
          <w:tcPr>
            <w:tcW w:w="709" w:type="dxa"/>
            <w:vAlign w:val="center"/>
          </w:tcPr>
          <w:p>
            <w:pPr>
              <w:jc w:val="center"/>
              <w:rPr>
                <w:rFonts w:ascii="宋体" w:hAnsi="宋体"/>
                <w:color w:val="000000" w:themeColor="text1"/>
                <w:sz w:val="20"/>
                <w:szCs w:val="20"/>
              </w:rPr>
            </w:pPr>
            <w:r>
              <w:rPr>
                <w:color w:val="000000"/>
                <w:sz w:val="20"/>
                <w:szCs w:val="20"/>
              </w:rPr>
              <w:t>48</w:t>
            </w:r>
          </w:p>
        </w:tc>
        <w:tc>
          <w:tcPr>
            <w:tcW w:w="567" w:type="dxa"/>
            <w:vAlign w:val="center"/>
          </w:tcPr>
          <w:p>
            <w:pPr>
              <w:jc w:val="center"/>
              <w:rPr>
                <w:rFonts w:ascii="宋体" w:hAnsi="宋体"/>
                <w:color w:val="000000" w:themeColor="text1"/>
                <w:sz w:val="20"/>
                <w:szCs w:val="20"/>
              </w:rPr>
            </w:pPr>
            <w:r>
              <w:rPr>
                <w:rFonts w:hint="eastAsia"/>
                <w:color w:val="000000"/>
                <w:sz w:val="20"/>
                <w:szCs w:val="20"/>
              </w:rPr>
              <w:t>40</w:t>
            </w:r>
          </w:p>
        </w:tc>
        <w:tc>
          <w:tcPr>
            <w:tcW w:w="79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00"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jc w:val="center"/>
              <w:rPr>
                <w:rFonts w:ascii="宋体" w:hAnsi="宋体"/>
                <w:color w:val="000000" w:themeColor="text1"/>
                <w:sz w:val="20"/>
                <w:szCs w:val="20"/>
              </w:rPr>
            </w:pPr>
            <w:r>
              <w:rPr>
                <w:rFonts w:hint="eastAsia"/>
                <w:sz w:val="18"/>
                <w:szCs w:val="18"/>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1559" w:type="dxa"/>
            <w:vAlign w:val="center"/>
          </w:tcPr>
          <w:p>
            <w:pPr>
              <w:jc w:val="center"/>
              <w:rPr>
                <w:rFonts w:ascii="宋体" w:hAnsi="宋体" w:cs="宋体"/>
                <w:color w:val="000000" w:themeColor="text1"/>
                <w:kern w:val="0"/>
                <w:sz w:val="20"/>
                <w:szCs w:val="20"/>
                <w:lang w:bidi="ar"/>
              </w:rPr>
            </w:pPr>
            <w:r>
              <w:rPr>
                <w:rFonts w:hint="eastAsia"/>
              </w:rPr>
              <w:t>LMT102</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sz w:val="18"/>
                <w:szCs w:val="18"/>
              </w:rPr>
              <w:t>管理学基础</w:t>
            </w:r>
          </w:p>
        </w:tc>
        <w:tc>
          <w:tcPr>
            <w:tcW w:w="709" w:type="dxa"/>
            <w:vAlign w:val="center"/>
          </w:tcPr>
          <w:p>
            <w:pPr>
              <w:jc w:val="center"/>
              <w:rPr>
                <w:rFonts w:ascii="宋体" w:hAnsi="宋体"/>
                <w:color w:val="000000" w:themeColor="text1"/>
                <w:sz w:val="20"/>
                <w:szCs w:val="20"/>
              </w:rPr>
            </w:pPr>
            <w:r>
              <w:rPr>
                <w:rFonts w:hint="eastAsia" w:ascii="宋体" w:hAnsi="宋体" w:cs="宋体"/>
                <w:color w:val="000000"/>
                <w:sz w:val="20"/>
                <w:szCs w:val="20"/>
              </w:rPr>
              <w:t>4</w:t>
            </w:r>
            <w:r>
              <w:rPr>
                <w:rFonts w:ascii="宋体" w:hAnsi="宋体" w:cs="宋体"/>
                <w:color w:val="000000"/>
                <w:sz w:val="20"/>
                <w:szCs w:val="20"/>
              </w:rPr>
              <w:t>8</w:t>
            </w:r>
          </w:p>
        </w:tc>
        <w:tc>
          <w:tcPr>
            <w:tcW w:w="567" w:type="dxa"/>
            <w:vAlign w:val="center"/>
          </w:tcPr>
          <w:p>
            <w:pPr>
              <w:jc w:val="center"/>
              <w:rPr>
                <w:rFonts w:ascii="宋体" w:hAnsi="宋体"/>
                <w:color w:val="000000" w:themeColor="text1"/>
                <w:sz w:val="20"/>
                <w:szCs w:val="20"/>
              </w:rPr>
            </w:pPr>
            <w:r>
              <w:rPr>
                <w:rFonts w:hint="eastAsia" w:ascii="宋体" w:hAnsi="宋体" w:cs="宋体"/>
                <w:color w:val="000000"/>
                <w:sz w:val="20"/>
                <w:szCs w:val="20"/>
              </w:rPr>
              <w:t>40</w:t>
            </w:r>
          </w:p>
        </w:tc>
        <w:tc>
          <w:tcPr>
            <w:tcW w:w="79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00"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jc w:val="center"/>
              <w:rPr>
                <w:rFonts w:ascii="宋体" w:hAnsi="宋体"/>
                <w:color w:val="000000" w:themeColor="text1"/>
                <w:sz w:val="20"/>
                <w:szCs w:val="20"/>
              </w:rPr>
            </w:pPr>
            <w:r>
              <w:rPr>
                <w:sz w:val="18"/>
                <w:szCs w:val="18"/>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91" w:hRule="atLeast"/>
          <w:jc w:val="center"/>
        </w:trPr>
        <w:tc>
          <w:tcPr>
            <w:tcW w:w="55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1559" w:type="dxa"/>
            <w:vAlign w:val="center"/>
          </w:tcPr>
          <w:p>
            <w:pPr>
              <w:jc w:val="center"/>
              <w:rPr>
                <w:rFonts w:ascii="宋体" w:hAnsi="宋体" w:cs="宋体"/>
                <w:color w:val="000000" w:themeColor="text1"/>
                <w:kern w:val="0"/>
                <w:sz w:val="20"/>
                <w:szCs w:val="20"/>
                <w:lang w:bidi="ar"/>
              </w:rPr>
            </w:pPr>
            <w:r>
              <w:rPr>
                <w:rFonts w:hint="eastAsia"/>
              </w:rPr>
              <w:t>LMT202</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sz w:val="18"/>
                <w:szCs w:val="18"/>
              </w:rPr>
              <w:t>应用数学基础</w:t>
            </w:r>
          </w:p>
        </w:tc>
        <w:tc>
          <w:tcPr>
            <w:tcW w:w="709"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567"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54</w:t>
            </w:r>
          </w:p>
        </w:tc>
        <w:tc>
          <w:tcPr>
            <w:tcW w:w="798"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10</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jc w:val="center"/>
              <w:rPr>
                <w:rFonts w:ascii="宋体" w:hAnsi="宋体"/>
                <w:color w:val="000000" w:themeColor="text1"/>
                <w:sz w:val="20"/>
                <w:szCs w:val="20"/>
              </w:rPr>
            </w:pPr>
            <w:r>
              <w:rPr>
                <w:sz w:val="18"/>
                <w:szCs w:val="18"/>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1559"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 xml:space="preserve">LMT201 </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sz w:val="18"/>
                <w:szCs w:val="18"/>
              </w:rPr>
              <w:t>物流设施与设备</w:t>
            </w:r>
          </w:p>
        </w:tc>
        <w:tc>
          <w:tcPr>
            <w:tcW w:w="709"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567"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36</w:t>
            </w:r>
          </w:p>
        </w:tc>
        <w:tc>
          <w:tcPr>
            <w:tcW w:w="798"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12</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 xml:space="preserve">2 </w:t>
            </w:r>
          </w:p>
        </w:tc>
        <w:tc>
          <w:tcPr>
            <w:tcW w:w="851" w:type="dxa"/>
            <w:vAlign w:val="center"/>
          </w:tcPr>
          <w:p>
            <w:pPr>
              <w:jc w:val="center"/>
              <w:rPr>
                <w:rFonts w:ascii="宋体" w:hAnsi="宋体"/>
                <w:color w:val="000000" w:themeColor="text1"/>
                <w:sz w:val="20"/>
                <w:szCs w:val="20"/>
              </w:rPr>
            </w:pPr>
            <w:r>
              <w:rPr>
                <w:rFonts w:hint="eastAsia"/>
                <w:sz w:val="18"/>
                <w:szCs w:val="18"/>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1559" w:type="dxa"/>
            <w:vAlign w:val="center"/>
          </w:tcPr>
          <w:p>
            <w:pPr>
              <w:ind w:firstLine="400" w:firstLineChars="200"/>
              <w:rPr>
                <w:rFonts w:ascii="宋体" w:hAnsi="宋体" w:cs="宋体"/>
                <w:color w:val="000000" w:themeColor="text1"/>
                <w:kern w:val="0"/>
                <w:sz w:val="20"/>
                <w:szCs w:val="20"/>
                <w:lang w:bidi="ar"/>
              </w:rPr>
            </w:pPr>
            <w:r>
              <w:rPr>
                <w:rFonts w:hint="eastAsia"/>
                <w:color w:val="000000"/>
                <w:sz w:val="20"/>
                <w:szCs w:val="20"/>
              </w:rPr>
              <w:t>LMT301</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sz w:val="18"/>
                <w:szCs w:val="18"/>
              </w:rPr>
              <w:t>国际货运代理</w:t>
            </w:r>
          </w:p>
        </w:tc>
        <w:tc>
          <w:tcPr>
            <w:tcW w:w="709"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567"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54</w:t>
            </w:r>
          </w:p>
        </w:tc>
        <w:tc>
          <w:tcPr>
            <w:tcW w:w="798" w:type="dxa"/>
            <w:vAlign w:val="center"/>
          </w:tcPr>
          <w:p>
            <w:pPr>
              <w:jc w:val="center"/>
              <w:rPr>
                <w:rFonts w:ascii="宋体" w:hAnsi="宋体"/>
                <w:color w:val="000000" w:themeColor="text1"/>
                <w:sz w:val="20"/>
                <w:szCs w:val="20"/>
              </w:rPr>
            </w:pPr>
            <w:r>
              <w:rPr>
                <w:rFonts w:hint="eastAsia" w:ascii="宋体" w:hAnsi="宋体" w:cs="宋体"/>
                <w:color w:val="000000"/>
                <w:sz w:val="20"/>
                <w:szCs w:val="20"/>
              </w:rPr>
              <w:t>10</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jc w:val="center"/>
              <w:rPr>
                <w:rFonts w:ascii="宋体" w:hAnsi="宋体"/>
                <w:color w:val="000000" w:themeColor="text1"/>
                <w:sz w:val="20"/>
                <w:szCs w:val="20"/>
              </w:rPr>
            </w:pPr>
            <w:r>
              <w:rPr>
                <w:rFonts w:hint="eastAsia"/>
                <w:sz w:val="18"/>
                <w:szCs w:val="18"/>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1559"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 xml:space="preserve">LMT303 </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sz w:val="18"/>
                <w:szCs w:val="18"/>
              </w:rPr>
              <w:t>仓储与配送管理</w:t>
            </w:r>
          </w:p>
        </w:tc>
        <w:tc>
          <w:tcPr>
            <w:tcW w:w="709"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sz w:val="20"/>
                <w:szCs w:val="20"/>
              </w:rPr>
              <w:t>64</w:t>
            </w:r>
          </w:p>
        </w:tc>
        <w:tc>
          <w:tcPr>
            <w:tcW w:w="567"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54</w:t>
            </w:r>
          </w:p>
        </w:tc>
        <w:tc>
          <w:tcPr>
            <w:tcW w:w="798"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10</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jc w:val="center"/>
              <w:rPr>
                <w:rFonts w:ascii="宋体" w:hAnsi="宋体"/>
                <w:color w:val="000000" w:themeColor="text1"/>
                <w:sz w:val="20"/>
                <w:szCs w:val="20"/>
              </w:rPr>
            </w:pPr>
            <w:r>
              <w:rPr>
                <w:rFonts w:hint="eastAsia"/>
                <w:sz w:val="18"/>
                <w:szCs w:val="18"/>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p>
        </w:tc>
        <w:tc>
          <w:tcPr>
            <w:tcW w:w="1559"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LMT402</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sz w:val="18"/>
                <w:szCs w:val="18"/>
              </w:rPr>
              <w:t>运输管理</w:t>
            </w:r>
          </w:p>
        </w:tc>
        <w:tc>
          <w:tcPr>
            <w:tcW w:w="709"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64</w:t>
            </w:r>
          </w:p>
        </w:tc>
        <w:tc>
          <w:tcPr>
            <w:tcW w:w="567"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54</w:t>
            </w:r>
          </w:p>
        </w:tc>
        <w:tc>
          <w:tcPr>
            <w:tcW w:w="798"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10</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jc w:val="center"/>
              <w:rPr>
                <w:rFonts w:ascii="宋体" w:hAnsi="宋体"/>
                <w:color w:val="000000" w:themeColor="text1"/>
                <w:sz w:val="20"/>
                <w:szCs w:val="20"/>
              </w:rPr>
            </w:pPr>
            <w:r>
              <w:rPr>
                <w:rFonts w:hint="eastAsia"/>
                <w:sz w:val="18"/>
                <w:szCs w:val="18"/>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w:t>
            </w:r>
          </w:p>
        </w:tc>
        <w:tc>
          <w:tcPr>
            <w:tcW w:w="1559"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LMT403</w:t>
            </w: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asciiTheme="minorEastAsia" w:hAnsiTheme="minorEastAsia" w:cstheme="minorEastAsia"/>
                <w:sz w:val="18"/>
                <w:szCs w:val="18"/>
              </w:rPr>
              <w:t>采购与供应链管理</w:t>
            </w:r>
          </w:p>
        </w:tc>
        <w:tc>
          <w:tcPr>
            <w:tcW w:w="709"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64</w:t>
            </w:r>
          </w:p>
        </w:tc>
        <w:tc>
          <w:tcPr>
            <w:tcW w:w="567"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54</w:t>
            </w:r>
          </w:p>
        </w:tc>
        <w:tc>
          <w:tcPr>
            <w:tcW w:w="798"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10</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jc w:val="center"/>
              <w:rPr>
                <w:rFonts w:ascii="宋体" w:hAnsi="宋体"/>
                <w:color w:val="000000" w:themeColor="text1"/>
                <w:sz w:val="20"/>
                <w:szCs w:val="20"/>
              </w:rPr>
            </w:pPr>
            <w:r>
              <w:rPr>
                <w:rFonts w:hint="eastAsia"/>
                <w:sz w:val="18"/>
                <w:szCs w:val="18"/>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bottom"/>
          </w:tcPr>
          <w:p>
            <w:pPr>
              <w:keepNext w:val="0"/>
              <w:keepLines w:val="0"/>
              <w:widowControl/>
              <w:suppressLineNumbers w:val="0"/>
              <w:jc w:val="center"/>
              <w:textAlignment w:val="bottom"/>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464</w:t>
            </w:r>
          </w:p>
        </w:tc>
        <w:tc>
          <w:tcPr>
            <w:tcW w:w="567" w:type="dxa"/>
            <w:vAlign w:val="bottom"/>
          </w:tcPr>
          <w:p>
            <w:pPr>
              <w:keepNext w:val="0"/>
              <w:keepLines w:val="0"/>
              <w:widowControl/>
              <w:suppressLineNumbers w:val="0"/>
              <w:jc w:val="center"/>
              <w:textAlignment w:val="bottom"/>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386</w:t>
            </w:r>
          </w:p>
        </w:tc>
        <w:tc>
          <w:tcPr>
            <w:tcW w:w="1698" w:type="dxa"/>
            <w:gridSpan w:val="2"/>
            <w:vAlign w:val="bottom"/>
          </w:tcPr>
          <w:p>
            <w:pPr>
              <w:keepNext w:val="0"/>
              <w:keepLines w:val="0"/>
              <w:widowControl/>
              <w:suppressLineNumbers w:val="0"/>
              <w:jc w:val="center"/>
              <w:textAlignment w:val="bottom"/>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78</w:t>
            </w:r>
          </w:p>
        </w:tc>
        <w:tc>
          <w:tcPr>
            <w:tcW w:w="708" w:type="dxa"/>
            <w:vAlign w:val="bottom"/>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25</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sz w:val="24"/>
          <w:szCs w:val="24"/>
        </w:rPr>
      </w:pPr>
    </w:p>
    <w:p>
      <w:pPr>
        <w:numPr>
          <w:ilvl w:val="0"/>
          <w:numId w:val="6"/>
        </w:numPr>
        <w:spacing w:line="360" w:lineRule="auto"/>
        <w:ind w:firstLine="480" w:firstLineChars="200"/>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专业核心课程内容及要求</w:t>
      </w:r>
    </w:p>
    <w:p>
      <w:pPr>
        <w:numPr>
          <w:ilvl w:val="0"/>
          <w:numId w:val="0"/>
        </w:numPr>
        <w:spacing w:line="360" w:lineRule="auto"/>
        <w:rPr>
          <w:rFonts w:hint="eastAsia" w:ascii="仿宋_GB2312" w:hAnsi="Times New Roman" w:eastAsia="仿宋_GB2312" w:cs="Times New Roman"/>
          <w:b/>
          <w:sz w:val="24"/>
          <w:szCs w:val="24"/>
        </w:rPr>
      </w:pPr>
    </w:p>
    <w:tbl>
      <w:tblPr>
        <w:tblStyle w:val="1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bCs/>
                <w:color w:val="000000" w:themeColor="text1"/>
                <w:kern w:val="0"/>
                <w:sz w:val="20"/>
                <w:szCs w:val="21"/>
              </w:rPr>
            </w:pPr>
            <w:r>
              <w:rPr>
                <w:rFonts w:hint="eastAsia" w:eastAsia="宋体" w:asciiTheme="minorEastAsia" w:hAnsiTheme="minorEastAsia" w:cstheme="minorEastAsia"/>
                <w:sz w:val="18"/>
                <w:szCs w:val="18"/>
              </w:rPr>
              <w:t>现代物流管理基础</w:t>
            </w:r>
          </w:p>
        </w:tc>
        <w:tc>
          <w:tcPr>
            <w:tcW w:w="5803" w:type="dxa"/>
            <w:vAlign w:val="center"/>
          </w:tcPr>
          <w:p>
            <w:pPr>
              <w:ind w:firstLine="36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的主要内容是介绍物流管理的概念与分类，了物流管理的职能：运输管理、仓储管理、配送管理、包装管理与装卸搬运管理、流通加工。了解国际物流相关概念，物流成本管理与冷链物流管理的相关概念与知识。通过学习本课程的相关内容让学生初步了解现代物流管理的基础知识与概念，以实践与理论相结合的方式，将物流管理的相关知识与概念运用在实际的生活当中，为物流管理专业的其它课程的学习奠定了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hint="eastAsia" w:eastAsia="宋体" w:asciiTheme="minorEastAsia" w:hAnsiTheme="minorEastAsia" w:cstheme="minorEastAsia"/>
                <w:sz w:val="18"/>
                <w:szCs w:val="18"/>
              </w:rPr>
              <w:t>管理学基础</w:t>
            </w:r>
          </w:p>
        </w:tc>
        <w:tc>
          <w:tcPr>
            <w:tcW w:w="5803" w:type="dxa"/>
            <w:vAlign w:val="center"/>
          </w:tcPr>
          <w:p>
            <w:pPr>
              <w:ind w:firstLine="36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的主要内容是讲解管理的概念、管理的职能：决策、计划、组织、领导、控制、创新。管理的三种技能：技术技能、人际技能、概念技能。通过学习本课程，使学生初步了解管理的职能与技能，提高学生发现问题、分析问题、解决问题的能力，提高学生合作与沟通能力，并运用管理学的理论运用在解决实际的问题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hint="eastAsia" w:eastAsia="宋体" w:asciiTheme="minorEastAsia" w:hAnsiTheme="minorEastAsia" w:cstheme="minorEastAsia"/>
                <w:sz w:val="18"/>
                <w:szCs w:val="18"/>
              </w:rPr>
              <w:t>应用数学基础</w:t>
            </w:r>
          </w:p>
        </w:tc>
        <w:tc>
          <w:tcPr>
            <w:tcW w:w="5803" w:type="dxa"/>
            <w:vAlign w:val="center"/>
          </w:tcPr>
          <w:p>
            <w:pPr>
              <w:widowControl/>
              <w:shd w:val="clear" w:color="auto" w:fill="FFFFFF"/>
              <w:spacing w:before="300" w:after="225"/>
              <w:ind w:firstLine="420"/>
              <w:jc w:val="left"/>
              <w:rPr>
                <w:rFonts w:ascii="宋体" w:hAnsi="宋体" w:eastAsia="宋体" w:cs="宋体"/>
                <w:color w:val="000000" w:themeColor="text1"/>
                <w:kern w:val="0"/>
                <w:sz w:val="18"/>
                <w:szCs w:val="18"/>
              </w:rPr>
            </w:pPr>
            <w:r>
              <w:rPr>
                <w:rFonts w:hint="eastAsia" w:eastAsia="宋体" w:asciiTheme="minorEastAsia" w:hAnsiTheme="minorEastAsia" w:cstheme="minorEastAsia"/>
                <w:color w:val="000000" w:themeColor="text1"/>
                <w:kern w:val="0"/>
                <w:sz w:val="18"/>
                <w:szCs w:val="18"/>
              </w:rPr>
              <w:t xml:space="preserve"> </w:t>
            </w:r>
            <w:r>
              <w:rPr>
                <w:rFonts w:hint="eastAsia" w:eastAsia="宋体" w:asciiTheme="minorEastAsia" w:hAnsiTheme="minorEastAsia" w:cstheme="minorEastAsia"/>
                <w:color w:val="333333"/>
                <w:kern w:val="0"/>
                <w:sz w:val="18"/>
                <w:szCs w:val="18"/>
                <w:shd w:val="clear" w:color="auto" w:fill="FFFFFF"/>
                <w:lang w:bidi="ar"/>
              </w:rPr>
              <w:t>《应用数学基础》是根据教育部制定的《高职高专教育高等数学课程教学基本要求》编写的。全书始终贯彻“以应用为目的、以够用为度”的精神，在编排上注重突出数学课程循序渐进、由浅入深的特点。《应用数学基础(第2版)》主要内容有：函数与极限、导数与微分、导数的应用、不定积分与定积分、常微分方程、拉普拉斯变换、无穷级数、线性代数初步、Mathematica教程初步。《应用数学基础(第2版)》可作为高职高专工科及经济类专业基础课教材，也可作为成人教育或专升本教材。通过学习本课程，是学生学会运用数学基础来解决物流经济中运输成本的问题。提高学生发现问题、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bCs/>
                <w:color w:val="000000" w:themeColor="text1"/>
                <w:kern w:val="0"/>
                <w:sz w:val="20"/>
                <w:szCs w:val="21"/>
              </w:rPr>
            </w:pPr>
            <w:r>
              <w:rPr>
                <w:rFonts w:hint="eastAsia" w:eastAsia="宋体" w:asciiTheme="minorEastAsia" w:hAnsiTheme="minorEastAsia" w:cstheme="minorEastAsia"/>
                <w:sz w:val="18"/>
                <w:szCs w:val="18"/>
              </w:rPr>
              <w:t>物流设施与设备</w:t>
            </w:r>
          </w:p>
        </w:tc>
        <w:tc>
          <w:tcPr>
            <w:tcW w:w="5803" w:type="dxa"/>
            <w:vAlign w:val="center"/>
          </w:tcPr>
          <w:p>
            <w:pPr>
              <w:widowControl/>
              <w:shd w:val="clear" w:color="auto" w:fill="FFFFFF"/>
              <w:spacing w:before="300" w:after="225"/>
              <w:ind w:firstLine="360" w:firstLineChars="200"/>
              <w:jc w:val="left"/>
              <w:rPr>
                <w:rFonts w:ascii="宋体" w:hAnsi="宋体" w:eastAsia="宋体" w:cs="宋体"/>
                <w:color w:val="000000" w:themeColor="text1"/>
                <w:kern w:val="0"/>
                <w:sz w:val="18"/>
                <w:szCs w:val="18"/>
              </w:rPr>
            </w:pPr>
            <w:r>
              <w:rPr>
                <w:rFonts w:hint="eastAsia" w:eastAsia="宋体" w:asciiTheme="minorEastAsia" w:hAnsiTheme="minorEastAsia" w:cstheme="minorEastAsia"/>
                <w:color w:val="000000" w:themeColor="text1"/>
                <w:kern w:val="0"/>
                <w:sz w:val="18"/>
                <w:szCs w:val="18"/>
                <w:shd w:val="clear" w:color="auto" w:fill="FFFFFF"/>
                <w:lang w:bidi="ar"/>
              </w:rPr>
              <w:t>本书围绕物流设施与设备这一中心，详细介绍了物流包装、仓库、仓储、运输、装卸搬运、集装单元化、港口物流、流通加工、自动分拣、信息平台、现代物流设备管理等物流设施与设备的理论知识和实践性内容。通过学习本课程，是学生掌握包装的技术与工具、仓库技术、运输工具与运输技术、装卸搬运的工具与技术、物流信息技术邓的知识，并学会运用所学的技术运用在实际的生活当中，为将来的就业提供良好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hint="eastAsia" w:eastAsia="宋体" w:asciiTheme="minorEastAsia" w:hAnsiTheme="minorEastAsia" w:cstheme="minorEastAsia"/>
                <w:sz w:val="18"/>
                <w:szCs w:val="18"/>
              </w:rPr>
              <w:t>国际货运代理</w:t>
            </w:r>
          </w:p>
        </w:tc>
        <w:tc>
          <w:tcPr>
            <w:tcW w:w="5803" w:type="dxa"/>
            <w:vAlign w:val="center"/>
          </w:tcPr>
          <w:p>
            <w:pPr>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的主要内容是了解海运、陆运、空运及多式联运等各种运输方式的基本特点及实务运作；熟悉海陆空运等重要单证的制作要领；了解国际物流的运作流程及货物的仓储与养护；通过本课程学习，使学生熟悉一般货代企业普通货物海运的作业全过程，详细了解每一个环节的任务实施流程，本课程的学习使学生熟练掌握国际海运货物的流转过程，并能准确完成每一环的操作。同时有助于学生顺利地考取国际货运代理从业人员资格证书，为其将来从事国际货运代理及进出口业务工作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bCs/>
                <w:color w:val="000000" w:themeColor="text1"/>
                <w:kern w:val="0"/>
                <w:sz w:val="20"/>
                <w:szCs w:val="21"/>
              </w:rPr>
            </w:pPr>
            <w:r>
              <w:rPr>
                <w:rFonts w:hint="eastAsia" w:eastAsia="宋体" w:asciiTheme="minorEastAsia" w:hAnsiTheme="minorEastAsia" w:cstheme="minorEastAsia"/>
                <w:sz w:val="18"/>
                <w:szCs w:val="18"/>
              </w:rPr>
              <w:t>仓储与配送管理</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本课程主要介绍仓储的相关概念与仓储管理的技术、仓库管理中出现的问题与仓库管理的技术与方法、仓库的布局、仓库的类型，介绍物流配送的相关概概念、解决物流配送过程中需要解决的问题方法。</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通过本课程的学习，使学生掌握仓库管理的布局、仓库保养的方法，学会解决物流配送过程中所出现的问题，为社会培养具有从事物流仓储与物流配送能力的物流专业型人才，以适应现代会社会的发展。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bCs/>
                <w:color w:val="000000" w:themeColor="text1"/>
                <w:kern w:val="0"/>
                <w:sz w:val="20"/>
                <w:szCs w:val="21"/>
              </w:rPr>
            </w:pPr>
            <w:r>
              <w:rPr>
                <w:rFonts w:hint="eastAsia" w:eastAsia="宋体" w:asciiTheme="minorEastAsia" w:hAnsiTheme="minorEastAsia" w:cstheme="minorEastAsia"/>
                <w:sz w:val="18"/>
                <w:szCs w:val="18"/>
              </w:rPr>
              <w:t>运输管理</w:t>
            </w:r>
          </w:p>
        </w:tc>
        <w:tc>
          <w:tcPr>
            <w:tcW w:w="5803" w:type="dxa"/>
            <w:vAlign w:val="center"/>
          </w:tcPr>
          <w:p>
            <w:pPr>
              <w:widowControl/>
              <w:shd w:val="clear" w:color="auto" w:fill="FFFFFF"/>
              <w:spacing w:before="300" w:after="225"/>
              <w:ind w:firstLine="420"/>
              <w:jc w:val="left"/>
              <w:rPr>
                <w:rFonts w:ascii="宋体" w:hAnsi="宋体" w:eastAsia="宋体" w:cs="宋体"/>
                <w:color w:val="000000" w:themeColor="text1"/>
                <w:kern w:val="0"/>
                <w:sz w:val="18"/>
                <w:szCs w:val="18"/>
              </w:rPr>
            </w:pPr>
            <w:r>
              <w:rPr>
                <w:rFonts w:hint="eastAsia" w:eastAsia="宋体" w:asciiTheme="minorEastAsia" w:hAnsiTheme="minorEastAsia" w:cstheme="minorEastAsia"/>
                <w:color w:val="333333"/>
                <w:kern w:val="0"/>
                <w:sz w:val="18"/>
                <w:szCs w:val="18"/>
                <w:shd w:val="clear" w:color="auto" w:fill="FFFFFF"/>
                <w:lang w:bidi="ar"/>
              </w:rPr>
              <w:t>《运输管理》结合我国物流运输发展的现状，广泛吸收当前物流及运输管理方面的新知识和新技能，力求新颖、实用、通俗易懂。《运输管理》共11章，内容包括：物流运输管理概论、物流运输方式及业务、物流运输决策、物流运输成本、物流运输合同、整车运输管理、集装箱运输管理、零担货物运输管理、国际联合运输管理、智能运输技术、特殊货物运输管理等。通过本课程的学习，培养具有掌握物流运输方式及业务、制定物流运输决策的专业型人才，使学生掌握物流成本的计算方法，并运用在实际的生活当中。使学生掌握物流运输的合同，向社会输送具有掌握运输管理的物流专业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bCs/>
                <w:color w:val="000000" w:themeColor="text1"/>
                <w:kern w:val="0"/>
                <w:sz w:val="20"/>
                <w:szCs w:val="21"/>
              </w:rPr>
            </w:pPr>
            <w:r>
              <w:rPr>
                <w:rFonts w:hint="eastAsia" w:eastAsia="宋体" w:asciiTheme="minorEastAsia" w:hAnsiTheme="minorEastAsia" w:cstheme="minorEastAsia"/>
                <w:sz w:val="18"/>
                <w:szCs w:val="18"/>
              </w:rPr>
              <w:t>采购与供应链管理</w:t>
            </w:r>
          </w:p>
        </w:tc>
        <w:tc>
          <w:tcPr>
            <w:tcW w:w="5803" w:type="dxa"/>
            <w:vAlign w:val="center"/>
          </w:tcPr>
          <w:p>
            <w:pPr>
              <w:widowControl/>
              <w:shd w:val="clear" w:color="auto" w:fill="FFFFFF"/>
              <w:spacing w:before="300" w:after="225"/>
              <w:ind w:firstLine="420"/>
              <w:jc w:val="left"/>
              <w:rPr>
                <w:rFonts w:ascii="宋体" w:hAnsi="宋体" w:eastAsia="宋体" w:cs="宋体"/>
                <w:color w:val="000000" w:themeColor="text1"/>
                <w:kern w:val="0"/>
                <w:sz w:val="18"/>
                <w:szCs w:val="18"/>
              </w:rPr>
            </w:pPr>
            <w:r>
              <w:rPr>
                <w:rFonts w:hint="eastAsia" w:eastAsia="宋体" w:asciiTheme="minorEastAsia" w:hAnsiTheme="minorEastAsia" w:cstheme="minorEastAsia"/>
                <w:color w:val="000000" w:themeColor="text1"/>
                <w:kern w:val="0"/>
                <w:sz w:val="18"/>
                <w:szCs w:val="18"/>
                <w:shd w:val="clear" w:color="auto" w:fill="FFFFFF"/>
                <w:lang w:bidi="ar"/>
              </w:rPr>
              <w:t>《</w:t>
            </w:r>
            <w:r>
              <w:fldChar w:fldCharType="begin"/>
            </w:r>
            <w:r>
              <w:instrText xml:space="preserve"> HYPERLINK "https://baike.baidu.com/item/%E7%89%A9%E6%B5%81%E9%87%87%E8%B4%AD%E4%B8%8E%E4%BE%9B%E5%BA%94%E7%AE%A1%E7%90%86/2090492" \t "https://baike.baidu.com/item/%E9%87%87%E8%B4%AD%E4%B8%8E%E4%BE%9B%E5%BA%94%E7%AE%A1%E7%90%86/_blank" </w:instrText>
            </w:r>
            <w:r>
              <w:fldChar w:fldCharType="separate"/>
            </w:r>
            <w:r>
              <w:rPr>
                <w:rStyle w:val="35"/>
                <w:rFonts w:hint="eastAsia" w:eastAsia="宋体" w:asciiTheme="minorEastAsia" w:hAnsiTheme="minorEastAsia" w:cstheme="minorEastAsia"/>
                <w:color w:val="000000" w:themeColor="text1"/>
                <w:sz w:val="18"/>
                <w:szCs w:val="18"/>
                <w:u w:val="none"/>
                <w:shd w:val="clear" w:color="auto" w:fill="FFFFFF"/>
              </w:rPr>
              <w:t>物流采购与供应管理</w:t>
            </w:r>
            <w:r>
              <w:rPr>
                <w:rStyle w:val="35"/>
                <w:rFonts w:hint="eastAsia" w:eastAsia="宋体" w:asciiTheme="minorEastAsia" w:hAnsiTheme="minorEastAsia" w:cstheme="minorEastAsia"/>
                <w:color w:val="000000" w:themeColor="text1"/>
                <w:sz w:val="18"/>
                <w:szCs w:val="18"/>
                <w:u w:val="none"/>
                <w:shd w:val="clear" w:color="auto" w:fill="FFFFFF"/>
              </w:rPr>
              <w:fldChar w:fldCharType="end"/>
            </w:r>
            <w:r>
              <w:rPr>
                <w:rFonts w:hint="eastAsia" w:eastAsia="宋体" w:asciiTheme="minorEastAsia" w:hAnsiTheme="minorEastAsia" w:cstheme="minorEastAsia"/>
                <w:color w:val="000000" w:themeColor="text1"/>
                <w:kern w:val="0"/>
                <w:sz w:val="18"/>
                <w:szCs w:val="18"/>
                <w:shd w:val="clear" w:color="auto" w:fill="FFFFFF"/>
                <w:lang w:bidi="ar"/>
              </w:rPr>
              <w:t xml:space="preserve">》要求学生掌握的内容主要是以加工制造类企业的采购与供应环节的各项业务内容为研究对象，基于现代物流和供应链管理的理论和方法以及最先进的 </w:t>
            </w:r>
            <w:r>
              <w:fldChar w:fldCharType="begin"/>
            </w:r>
            <w:r>
              <w:instrText xml:space="preserve"> HYPERLINK "https://baike.baidu.com/item/%E9%87%87%E8%B4%AD%E4%B8%8E%E4%BE%9B%E5%BA%94%E9%93%BE%E7%AE%A1%E7%90%86/4145036" \t "https://baike.baidu.com/item/%E9%87%87%E8%B4%AD%E4%B8%8E%E4%BE%9B%E5%BA%94%E7%AE%A1%E7%90%86/_blank" </w:instrText>
            </w:r>
            <w:r>
              <w:fldChar w:fldCharType="separate"/>
            </w:r>
            <w:r>
              <w:rPr>
                <w:rStyle w:val="35"/>
                <w:rFonts w:hint="eastAsia" w:eastAsia="宋体" w:asciiTheme="minorEastAsia" w:hAnsiTheme="minorEastAsia" w:cstheme="minorEastAsia"/>
                <w:color w:val="000000" w:themeColor="text1"/>
                <w:sz w:val="18"/>
                <w:szCs w:val="18"/>
                <w:u w:val="none"/>
                <w:shd w:val="clear" w:color="auto" w:fill="FFFFFF"/>
              </w:rPr>
              <w:t>采购与供应链管理</w:t>
            </w:r>
            <w:r>
              <w:rPr>
                <w:rStyle w:val="35"/>
                <w:rFonts w:hint="eastAsia" w:eastAsia="宋体" w:asciiTheme="minorEastAsia" w:hAnsiTheme="minorEastAsia" w:cstheme="minorEastAsia"/>
                <w:color w:val="000000" w:themeColor="text1"/>
                <w:sz w:val="18"/>
                <w:szCs w:val="18"/>
                <w:u w:val="none"/>
                <w:shd w:val="clear" w:color="auto" w:fill="FFFFFF"/>
              </w:rPr>
              <w:fldChar w:fldCharType="end"/>
            </w:r>
            <w:r>
              <w:rPr>
                <w:rFonts w:hint="eastAsia" w:eastAsia="宋体" w:asciiTheme="minorEastAsia" w:hAnsiTheme="minorEastAsia" w:cstheme="minorEastAsia"/>
                <w:color w:val="000000" w:themeColor="text1"/>
                <w:kern w:val="0"/>
                <w:sz w:val="18"/>
                <w:szCs w:val="18"/>
                <w:shd w:val="clear" w:color="auto" w:fill="FFFFFF"/>
                <w:lang w:bidi="ar"/>
              </w:rPr>
              <w:t>的实践，分别从采购与供应环节的组织、策略与计划、自制与外包决策、供应商选择与评价等方面系统地介绍了一般加工制造类企业采购与供应环节各项业务的内容、基本原理、相关法规和决策优化方法等内容。</w:t>
            </w:r>
          </w:p>
        </w:tc>
      </w:tr>
    </w:tbl>
    <w:p>
      <w:pPr>
        <w:spacing w:line="360" w:lineRule="auto"/>
        <w:ind w:firstLine="480" w:firstLineChars="200"/>
        <w:rPr>
          <w:rFonts w:hint="eastAsia"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 xml:space="preserve">5. </w:t>
      </w:r>
      <w:r>
        <w:rPr>
          <w:rFonts w:hint="eastAsia" w:ascii="仿宋_GB2312" w:hAnsi="Times New Roman" w:eastAsia="仿宋_GB2312" w:cs="Times New Roman"/>
          <w:b/>
          <w:color w:val="000000" w:themeColor="text1"/>
          <w:sz w:val="24"/>
          <w:szCs w:val="24"/>
        </w:rPr>
        <w:t>专业拓展课程</w:t>
      </w:r>
      <w:r>
        <w:rPr>
          <w:rFonts w:hint="eastAsia" w:ascii="仿宋_GB2312" w:hAnsi="Times New Roman" w:eastAsia="仿宋_GB2312" w:cs="Times New Roman"/>
          <w:b/>
          <w:sz w:val="24"/>
          <w:szCs w:val="24"/>
        </w:rPr>
        <w:t>设置及进程安排表（共计14学分，占总学时</w:t>
      </w:r>
      <w:r>
        <w:rPr>
          <w:rFonts w:hint="eastAsia" w:ascii="仿宋_GB2312" w:hAnsi="Times New Roman" w:eastAsia="仿宋_GB2312" w:cs="Times New Roman"/>
          <w:b/>
          <w:sz w:val="24"/>
          <w:szCs w:val="24"/>
          <w:lang w:val="en-US" w:eastAsia="zh-CN"/>
        </w:rPr>
        <w:t>14.29</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200"/>
        <w:gridCol w:w="2494"/>
        <w:gridCol w:w="709"/>
        <w:gridCol w:w="567"/>
        <w:gridCol w:w="798"/>
        <w:gridCol w:w="900"/>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200"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49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200" w:type="dxa"/>
            <w:vMerge w:val="continue"/>
            <w:vAlign w:val="center"/>
          </w:tcPr>
          <w:p>
            <w:pPr>
              <w:tabs>
                <w:tab w:val="left" w:pos="4760"/>
              </w:tabs>
              <w:jc w:val="center"/>
              <w:rPr>
                <w:rFonts w:ascii="宋体" w:hAnsi="宋体" w:eastAsia="宋体" w:cs="Times New Roman"/>
                <w:szCs w:val="21"/>
              </w:rPr>
            </w:pPr>
          </w:p>
        </w:tc>
        <w:tc>
          <w:tcPr>
            <w:tcW w:w="2494"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98"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00"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200"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 302</w:t>
            </w:r>
          </w:p>
        </w:tc>
        <w:tc>
          <w:tcPr>
            <w:tcW w:w="2494" w:type="dxa"/>
            <w:vAlign w:val="center"/>
          </w:tcPr>
          <w:p>
            <w:pPr>
              <w:jc w:val="center"/>
              <w:rPr>
                <w:rFonts w:asciiTheme="minorEastAsia" w:hAnsiTheme="minorEastAsia" w:cstheme="minorEastAsia"/>
                <w:color w:val="000000" w:themeColor="text1"/>
                <w:kern w:val="0"/>
                <w:sz w:val="18"/>
                <w:szCs w:val="18"/>
                <w:lang w:bidi="ar"/>
              </w:rPr>
            </w:pPr>
            <w:r>
              <w:rPr>
                <w:rFonts w:hint="eastAsia"/>
                <w:sz w:val="18"/>
                <w:szCs w:val="18"/>
              </w:rPr>
              <w:t>物流信息技术</w:t>
            </w:r>
          </w:p>
        </w:tc>
        <w:tc>
          <w:tcPr>
            <w:tcW w:w="709" w:type="dxa"/>
            <w:vAlign w:val="center"/>
          </w:tcPr>
          <w:p>
            <w:pPr>
              <w:jc w:val="center"/>
              <w:rPr>
                <w:rFonts w:ascii="宋体" w:hAnsi="宋体"/>
                <w:color w:val="000000" w:themeColor="text1"/>
                <w:sz w:val="20"/>
                <w:szCs w:val="20"/>
              </w:rPr>
            </w:pPr>
            <w:r>
              <w:rPr>
                <w:rFonts w:hint="eastAsia"/>
                <w:color w:val="000000"/>
                <w:sz w:val="20"/>
                <w:szCs w:val="20"/>
              </w:rPr>
              <w:t>48</w:t>
            </w:r>
          </w:p>
        </w:tc>
        <w:tc>
          <w:tcPr>
            <w:tcW w:w="567" w:type="dxa"/>
            <w:vAlign w:val="center"/>
          </w:tcPr>
          <w:p>
            <w:pPr>
              <w:jc w:val="center"/>
              <w:rPr>
                <w:rFonts w:ascii="宋体" w:hAnsi="宋体"/>
                <w:color w:val="000000" w:themeColor="text1"/>
                <w:sz w:val="20"/>
                <w:szCs w:val="20"/>
              </w:rPr>
            </w:pPr>
            <w:r>
              <w:rPr>
                <w:rFonts w:hint="eastAsia"/>
                <w:color w:val="000000"/>
                <w:sz w:val="20"/>
                <w:szCs w:val="20"/>
              </w:rPr>
              <w:t>40</w:t>
            </w:r>
          </w:p>
        </w:tc>
        <w:tc>
          <w:tcPr>
            <w:tcW w:w="798" w:type="dxa"/>
            <w:vAlign w:val="center"/>
          </w:tcPr>
          <w:p>
            <w:pPr>
              <w:jc w:val="center"/>
              <w:rPr>
                <w:rFonts w:ascii="宋体" w:hAnsi="宋体"/>
                <w:color w:val="000000" w:themeColor="text1"/>
                <w:sz w:val="20"/>
                <w:szCs w:val="20"/>
              </w:rPr>
            </w:pPr>
            <w:r>
              <w:rPr>
                <w:rFonts w:hint="eastAsia"/>
                <w:color w:val="000000"/>
                <w:sz w:val="20"/>
                <w:szCs w:val="20"/>
              </w:rPr>
              <w:t>8</w:t>
            </w:r>
          </w:p>
        </w:tc>
        <w:tc>
          <w:tcPr>
            <w:tcW w:w="900"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sz w:val="18"/>
                <w:szCs w:val="18"/>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jc w:val="center"/>
              <w:rPr>
                <w:rFonts w:ascii="宋体" w:hAnsi="宋体"/>
                <w:color w:val="000000" w:themeColor="text1"/>
                <w:sz w:val="20"/>
                <w:szCs w:val="20"/>
              </w:rPr>
            </w:pPr>
            <w:r>
              <w:rPr>
                <w:sz w:val="18"/>
                <w:szCs w:val="18"/>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200" w:type="dxa"/>
            <w:vAlign w:val="center"/>
          </w:tcPr>
          <w:p>
            <w:pPr>
              <w:jc w:val="center"/>
              <w:rPr>
                <w:rFonts w:ascii="宋体" w:hAnsi="宋体" w:cs="宋体"/>
                <w:color w:val="000000" w:themeColor="text1"/>
                <w:kern w:val="0"/>
                <w:sz w:val="20"/>
                <w:szCs w:val="20"/>
                <w:lang w:bidi="ar"/>
              </w:rPr>
            </w:pPr>
            <w:r>
              <w:rPr>
                <w:rFonts w:hint="eastAsia"/>
                <w:sz w:val="20"/>
                <w:szCs w:val="20"/>
              </w:rPr>
              <w:t>LMT401</w:t>
            </w:r>
          </w:p>
        </w:tc>
        <w:tc>
          <w:tcPr>
            <w:tcW w:w="2494" w:type="dxa"/>
            <w:vAlign w:val="center"/>
          </w:tcPr>
          <w:p>
            <w:pPr>
              <w:jc w:val="center"/>
              <w:rPr>
                <w:rFonts w:asciiTheme="minorEastAsia" w:hAnsiTheme="minorEastAsia" w:cstheme="minorEastAsia"/>
                <w:color w:val="000000" w:themeColor="text1"/>
                <w:kern w:val="0"/>
                <w:sz w:val="18"/>
                <w:szCs w:val="18"/>
                <w:lang w:bidi="ar"/>
              </w:rPr>
            </w:pPr>
            <w:r>
              <w:rPr>
                <w:rFonts w:hint="eastAsia"/>
                <w:sz w:val="18"/>
                <w:szCs w:val="18"/>
              </w:rPr>
              <w:t>物流客户服务与管理</w:t>
            </w:r>
          </w:p>
        </w:tc>
        <w:tc>
          <w:tcPr>
            <w:tcW w:w="709" w:type="dxa"/>
            <w:vAlign w:val="center"/>
          </w:tcPr>
          <w:p>
            <w:pPr>
              <w:jc w:val="center"/>
              <w:rPr>
                <w:rFonts w:ascii="宋体" w:hAnsi="宋体"/>
                <w:color w:val="000000" w:themeColor="text1"/>
                <w:sz w:val="20"/>
                <w:szCs w:val="20"/>
              </w:rPr>
            </w:pPr>
            <w:r>
              <w:rPr>
                <w:rFonts w:hint="eastAsia"/>
                <w:sz w:val="18"/>
                <w:szCs w:val="18"/>
              </w:rPr>
              <w:t>48</w:t>
            </w:r>
          </w:p>
        </w:tc>
        <w:tc>
          <w:tcPr>
            <w:tcW w:w="567" w:type="dxa"/>
            <w:vAlign w:val="center"/>
          </w:tcPr>
          <w:p>
            <w:pPr>
              <w:jc w:val="center"/>
              <w:rPr>
                <w:rFonts w:ascii="宋体" w:hAnsi="宋体"/>
                <w:color w:val="000000" w:themeColor="text1"/>
                <w:sz w:val="20"/>
                <w:szCs w:val="20"/>
              </w:rPr>
            </w:pPr>
            <w:r>
              <w:rPr>
                <w:rFonts w:hint="eastAsia"/>
                <w:sz w:val="18"/>
                <w:szCs w:val="18"/>
              </w:rPr>
              <w:t>40</w:t>
            </w:r>
          </w:p>
        </w:tc>
        <w:tc>
          <w:tcPr>
            <w:tcW w:w="798" w:type="dxa"/>
            <w:vAlign w:val="center"/>
          </w:tcPr>
          <w:p>
            <w:pPr>
              <w:jc w:val="center"/>
              <w:rPr>
                <w:rFonts w:ascii="宋体" w:hAnsi="宋体"/>
                <w:color w:val="000000" w:themeColor="text1"/>
                <w:sz w:val="20"/>
                <w:szCs w:val="20"/>
              </w:rPr>
            </w:pPr>
            <w:r>
              <w:rPr>
                <w:rFonts w:hint="eastAsia"/>
                <w:sz w:val="18"/>
                <w:szCs w:val="18"/>
              </w:rPr>
              <w:t>8</w:t>
            </w:r>
          </w:p>
        </w:tc>
        <w:tc>
          <w:tcPr>
            <w:tcW w:w="900"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sz w:val="18"/>
                <w:szCs w:val="18"/>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13"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200" w:type="dxa"/>
            <w:vAlign w:val="center"/>
          </w:tcPr>
          <w:p>
            <w:pPr>
              <w:jc w:val="center"/>
              <w:rPr>
                <w:rFonts w:ascii="宋体" w:hAnsi="宋体" w:cs="宋体"/>
                <w:color w:val="000000" w:themeColor="text1"/>
                <w:kern w:val="0"/>
                <w:sz w:val="20"/>
                <w:szCs w:val="20"/>
                <w:lang w:bidi="ar"/>
              </w:rPr>
            </w:pPr>
            <w:r>
              <w:rPr>
                <w:rFonts w:hint="eastAsia"/>
                <w:sz w:val="20"/>
                <w:szCs w:val="20"/>
              </w:rPr>
              <w:t>LMT501</w:t>
            </w:r>
          </w:p>
        </w:tc>
        <w:tc>
          <w:tcPr>
            <w:tcW w:w="2494" w:type="dxa"/>
            <w:vAlign w:val="center"/>
          </w:tcPr>
          <w:p>
            <w:pPr>
              <w:spacing w:line="240" w:lineRule="exact"/>
              <w:jc w:val="center"/>
              <w:rPr>
                <w:rFonts w:asciiTheme="minorEastAsia" w:hAnsiTheme="minorEastAsia" w:cstheme="minorEastAsia"/>
                <w:color w:val="000000" w:themeColor="text1"/>
                <w:kern w:val="0"/>
                <w:sz w:val="18"/>
                <w:szCs w:val="18"/>
                <w:lang w:bidi="ar"/>
              </w:rPr>
            </w:pPr>
            <w:r>
              <w:rPr>
                <w:rFonts w:hint="eastAsia"/>
                <w:sz w:val="18"/>
                <w:szCs w:val="18"/>
              </w:rPr>
              <w:t>物流项目管理</w:t>
            </w:r>
          </w:p>
        </w:tc>
        <w:tc>
          <w:tcPr>
            <w:tcW w:w="709" w:type="dxa"/>
            <w:vAlign w:val="center"/>
          </w:tcPr>
          <w:p>
            <w:pPr>
              <w:jc w:val="center"/>
              <w:rPr>
                <w:rFonts w:ascii="宋体" w:hAnsi="宋体" w:cs="宋体"/>
                <w:color w:val="000000" w:themeColor="text1"/>
                <w:kern w:val="0"/>
                <w:sz w:val="20"/>
                <w:szCs w:val="20"/>
                <w:lang w:bidi="ar"/>
              </w:rPr>
            </w:pPr>
            <w:r>
              <w:rPr>
                <w:rFonts w:hint="eastAsia"/>
                <w:sz w:val="18"/>
                <w:szCs w:val="18"/>
              </w:rPr>
              <w:t>48</w:t>
            </w:r>
          </w:p>
        </w:tc>
        <w:tc>
          <w:tcPr>
            <w:tcW w:w="567" w:type="dxa"/>
            <w:vAlign w:val="center"/>
          </w:tcPr>
          <w:p>
            <w:pPr>
              <w:jc w:val="center"/>
              <w:rPr>
                <w:rFonts w:ascii="宋体" w:hAnsi="宋体" w:cs="宋体"/>
                <w:color w:val="000000" w:themeColor="text1"/>
                <w:kern w:val="0"/>
                <w:sz w:val="20"/>
                <w:szCs w:val="20"/>
                <w:lang w:bidi="ar"/>
              </w:rPr>
            </w:pPr>
            <w:r>
              <w:rPr>
                <w:rFonts w:hint="eastAsia"/>
                <w:sz w:val="18"/>
                <w:szCs w:val="18"/>
              </w:rPr>
              <w:t>48</w:t>
            </w:r>
          </w:p>
        </w:tc>
        <w:tc>
          <w:tcPr>
            <w:tcW w:w="798" w:type="dxa"/>
            <w:vAlign w:val="center"/>
          </w:tcPr>
          <w:p>
            <w:pPr>
              <w:jc w:val="center"/>
              <w:rPr>
                <w:rFonts w:ascii="宋体" w:hAnsi="宋体"/>
                <w:color w:val="000000" w:themeColor="text1"/>
                <w:sz w:val="20"/>
                <w:szCs w:val="20"/>
              </w:rPr>
            </w:pP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rFonts w:ascii="宋体" w:hAnsi="宋体" w:cs="宋体"/>
                <w:color w:val="000000" w:themeColor="text1"/>
                <w:kern w:val="0"/>
                <w:sz w:val="20"/>
                <w:szCs w:val="20"/>
                <w:lang w:bidi="ar"/>
              </w:rPr>
            </w:pPr>
            <w:r>
              <w:rPr>
                <w:rFonts w:hint="eastAsia"/>
                <w:sz w:val="18"/>
                <w:szCs w:val="18"/>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jc w:val="center"/>
              <w:rPr>
                <w:rFonts w:ascii="宋体" w:hAnsi="宋体"/>
                <w:color w:val="000000" w:themeColor="text1"/>
                <w:sz w:val="20"/>
                <w:szCs w:val="20"/>
              </w:rPr>
            </w:pPr>
            <w:r>
              <w:rPr>
                <w:rFonts w:hint="eastAsia"/>
                <w:sz w:val="18"/>
                <w:szCs w:val="18"/>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200" w:type="dxa"/>
            <w:vAlign w:val="center"/>
          </w:tcPr>
          <w:p>
            <w:pPr>
              <w:jc w:val="center"/>
              <w:rPr>
                <w:rFonts w:ascii="宋体" w:hAnsi="宋体" w:cs="宋体"/>
                <w:color w:val="000000" w:themeColor="text1"/>
                <w:kern w:val="0"/>
                <w:sz w:val="20"/>
                <w:szCs w:val="20"/>
                <w:lang w:bidi="ar"/>
              </w:rPr>
            </w:pPr>
            <w:r>
              <w:rPr>
                <w:rFonts w:hint="eastAsia"/>
                <w:sz w:val="20"/>
                <w:szCs w:val="20"/>
              </w:rPr>
              <w:t>LMT502</w:t>
            </w:r>
          </w:p>
        </w:tc>
        <w:tc>
          <w:tcPr>
            <w:tcW w:w="2494" w:type="dxa"/>
            <w:vAlign w:val="center"/>
          </w:tcPr>
          <w:p>
            <w:pPr>
              <w:spacing w:line="240" w:lineRule="exact"/>
              <w:jc w:val="center"/>
              <w:rPr>
                <w:rFonts w:asciiTheme="minorEastAsia" w:hAnsiTheme="minorEastAsia" w:cstheme="minorEastAsia"/>
                <w:color w:val="000000" w:themeColor="text1"/>
                <w:kern w:val="0"/>
                <w:sz w:val="18"/>
                <w:szCs w:val="18"/>
                <w:lang w:bidi="ar"/>
              </w:rPr>
            </w:pPr>
            <w:r>
              <w:rPr>
                <w:rFonts w:hint="eastAsia"/>
                <w:sz w:val="18"/>
                <w:szCs w:val="18"/>
              </w:rPr>
              <w:t>报检报关</w:t>
            </w:r>
          </w:p>
        </w:tc>
        <w:tc>
          <w:tcPr>
            <w:tcW w:w="709"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567" w:type="dxa"/>
            <w:vAlign w:val="center"/>
          </w:tcPr>
          <w:p>
            <w:pPr>
              <w:jc w:val="center"/>
              <w:rPr>
                <w:rFonts w:ascii="宋体" w:hAnsi="宋体" w:cs="宋体"/>
                <w:color w:val="000000" w:themeColor="text1"/>
                <w:kern w:val="0"/>
                <w:sz w:val="20"/>
                <w:szCs w:val="20"/>
                <w:lang w:bidi="ar"/>
              </w:rPr>
            </w:pPr>
            <w:r>
              <w:rPr>
                <w:rFonts w:hint="eastAsia"/>
                <w:sz w:val="18"/>
                <w:szCs w:val="18"/>
              </w:rPr>
              <w:t>48</w:t>
            </w:r>
          </w:p>
        </w:tc>
        <w:tc>
          <w:tcPr>
            <w:tcW w:w="798" w:type="dxa"/>
            <w:vAlign w:val="center"/>
          </w:tcPr>
          <w:p>
            <w:pPr>
              <w:jc w:val="center"/>
              <w:rPr>
                <w:rFonts w:ascii="宋体" w:hAnsi="宋体"/>
                <w:color w:val="000000" w:themeColor="text1"/>
                <w:sz w:val="20"/>
                <w:szCs w:val="20"/>
              </w:rPr>
            </w:pP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rFonts w:ascii="宋体" w:hAnsi="宋体" w:cs="宋体"/>
                <w:color w:val="000000" w:themeColor="text1"/>
                <w:kern w:val="0"/>
                <w:sz w:val="20"/>
                <w:szCs w:val="20"/>
                <w:lang w:bidi="ar"/>
              </w:rPr>
            </w:pPr>
            <w:r>
              <w:rPr>
                <w:rFonts w:hint="eastAsia"/>
                <w:sz w:val="18"/>
                <w:szCs w:val="18"/>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jc w:val="center"/>
              <w:rPr>
                <w:rFonts w:ascii="宋体" w:hAnsi="宋体"/>
                <w:color w:val="000000" w:themeColor="text1"/>
                <w:sz w:val="20"/>
                <w:szCs w:val="20"/>
              </w:rPr>
            </w:pPr>
            <w:r>
              <w:rPr>
                <w:rFonts w:hint="eastAsia"/>
                <w:sz w:val="18"/>
                <w:szCs w:val="18"/>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1200" w:type="dxa"/>
            <w:vAlign w:val="center"/>
          </w:tcPr>
          <w:p>
            <w:pPr>
              <w:widowControl/>
              <w:jc w:val="center"/>
              <w:textAlignment w:val="center"/>
              <w:rPr>
                <w:rFonts w:hint="eastAsia"/>
                <w:sz w:val="20"/>
                <w:szCs w:val="20"/>
              </w:rPr>
            </w:pPr>
            <w:r>
              <w:rPr>
                <w:rFonts w:ascii="宋体" w:hAnsi="宋体" w:cs="宋体"/>
                <w:color w:val="000000" w:themeColor="text1"/>
                <w:kern w:val="0"/>
                <w:sz w:val="20"/>
                <w:szCs w:val="20"/>
                <w:lang w:bidi="ar"/>
              </w:rPr>
              <w:t>ABE 412</w:t>
            </w:r>
          </w:p>
        </w:tc>
        <w:tc>
          <w:tcPr>
            <w:tcW w:w="2494" w:type="dxa"/>
            <w:vAlign w:val="center"/>
          </w:tcPr>
          <w:p>
            <w:pPr>
              <w:jc w:val="center"/>
              <w:rPr>
                <w:rFonts w:asciiTheme="minorEastAsia" w:hAnsiTheme="minorEastAsia" w:cstheme="minorEastAsia"/>
                <w:bCs/>
                <w:color w:val="000000" w:themeColor="text1"/>
                <w:kern w:val="0"/>
                <w:sz w:val="18"/>
                <w:szCs w:val="18"/>
              </w:rPr>
            </w:pPr>
            <w:r>
              <w:rPr>
                <w:rFonts w:hint="eastAsia" w:asciiTheme="minorEastAsia" w:hAnsiTheme="minorEastAsia" w:cstheme="minorEastAsia"/>
                <w:bCs/>
                <w:color w:val="000000" w:themeColor="text1"/>
                <w:kern w:val="0"/>
                <w:sz w:val="18"/>
                <w:szCs w:val="18"/>
              </w:rPr>
              <w:t>Strategic Marketing</w:t>
            </w:r>
          </w:p>
          <w:p>
            <w:pPr>
              <w:jc w:val="center"/>
              <w:rPr>
                <w:rFonts w:hint="eastAsia"/>
                <w:sz w:val="18"/>
                <w:szCs w:val="18"/>
              </w:rPr>
            </w:pPr>
            <w:r>
              <w:rPr>
                <w:rFonts w:hint="eastAsia" w:asciiTheme="minorEastAsia" w:hAnsiTheme="minorEastAsia" w:cstheme="minorEastAsia"/>
                <w:bCs/>
                <w:color w:val="000000" w:themeColor="text1"/>
                <w:kern w:val="0"/>
                <w:sz w:val="18"/>
                <w:szCs w:val="18"/>
              </w:rPr>
              <w:t>(SM)   战略市场营销</w:t>
            </w:r>
          </w:p>
        </w:tc>
        <w:tc>
          <w:tcPr>
            <w:tcW w:w="709" w:type="dxa"/>
            <w:vAlign w:val="center"/>
          </w:tcPr>
          <w:p>
            <w:pPr>
              <w:widowControl/>
              <w:jc w:val="center"/>
              <w:textAlignment w:val="cente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32  </w:t>
            </w:r>
          </w:p>
        </w:tc>
        <w:tc>
          <w:tcPr>
            <w:tcW w:w="567" w:type="dxa"/>
            <w:vAlign w:val="center"/>
          </w:tcPr>
          <w:p>
            <w:pPr>
              <w:widowControl/>
              <w:spacing w:line="240" w:lineRule="exact"/>
              <w:jc w:val="center"/>
              <w:textAlignment w:val="center"/>
              <w:rPr>
                <w:rFonts w:hint="eastAsia"/>
                <w:sz w:val="18"/>
                <w:szCs w:val="18"/>
              </w:rPr>
            </w:pPr>
            <w:r>
              <w:rPr>
                <w:rFonts w:hint="eastAsia" w:ascii="宋体" w:hAnsi="宋体" w:cs="宋体"/>
                <w:color w:val="000000" w:themeColor="text1"/>
                <w:kern w:val="0"/>
                <w:sz w:val="20"/>
                <w:szCs w:val="20"/>
                <w:lang w:bidi="ar"/>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00" w:type="dxa"/>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hint="eastAsia"/>
                <w:sz w:val="18"/>
                <w:szCs w:val="18"/>
              </w:rPr>
            </w:pPr>
            <w:r>
              <w:rPr>
                <w:rFonts w:hint="eastAsia" w:ascii="宋体" w:hAnsi="宋体" w:eastAsia="宋体" w:cs="宋体"/>
                <w:color w:val="000000" w:themeColor="text1"/>
                <w:sz w:val="22"/>
              </w:rPr>
              <w:t>2</w:t>
            </w:r>
          </w:p>
        </w:tc>
        <w:tc>
          <w:tcPr>
            <w:tcW w:w="709" w:type="dxa"/>
            <w:vAlign w:val="center"/>
          </w:tcPr>
          <w:p>
            <w:pPr>
              <w:shd w:val="clear" w:color="auto" w:fill="FFFFFF"/>
              <w:jc w:val="center"/>
              <w:rPr>
                <w:rFonts w:hint="eastAsia" w:ascii="宋体" w:hAnsi="宋体" w:eastAsia="宋体" w:cs="Times New Roman"/>
                <w:szCs w:val="21"/>
              </w:rPr>
            </w:pPr>
            <w:r>
              <w:rPr>
                <w:rFonts w:hint="eastAsia" w:ascii="宋体" w:hAnsi="宋体" w:eastAsia="宋体" w:cs="Times New Roman"/>
                <w:color w:val="000000" w:themeColor="text1"/>
                <w:szCs w:val="21"/>
              </w:rPr>
              <w:t>5</w:t>
            </w:r>
          </w:p>
        </w:tc>
        <w:tc>
          <w:tcPr>
            <w:tcW w:w="851" w:type="dxa"/>
            <w:vAlign w:val="center"/>
          </w:tcPr>
          <w:p>
            <w:pPr>
              <w:widowControl/>
              <w:jc w:val="center"/>
              <w:textAlignment w:val="center"/>
              <w:rPr>
                <w:rFonts w:hint="eastAsia"/>
                <w:sz w:val="18"/>
                <w:szCs w:val="18"/>
              </w:rPr>
            </w:pPr>
            <w:r>
              <w:rPr>
                <w:rFonts w:hint="eastAsia" w:ascii="宋体" w:hAnsi="宋体" w:cs="宋体"/>
                <w:color w:val="000000" w:themeColor="text1"/>
                <w:kern w:val="0"/>
                <w:sz w:val="20"/>
                <w:szCs w:val="20"/>
                <w:lang w:bidi="ar"/>
              </w:rPr>
              <w:t>考试</w:t>
            </w:r>
          </w:p>
        </w:tc>
        <w:tc>
          <w:tcPr>
            <w:tcW w:w="703" w:type="dxa"/>
            <w:vAlign w:val="center"/>
          </w:tcPr>
          <w:p>
            <w:pPr>
              <w:widowControl/>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1200" w:type="dxa"/>
            <w:vAlign w:val="center"/>
          </w:tcPr>
          <w:p>
            <w:pPr>
              <w:widowControl/>
              <w:jc w:val="center"/>
              <w:textAlignment w:val="center"/>
              <w:rPr>
                <w:rFonts w:hint="eastAsia"/>
                <w:sz w:val="20"/>
                <w:szCs w:val="20"/>
              </w:rPr>
            </w:pPr>
            <w:r>
              <w:rPr>
                <w:rFonts w:ascii="宋体" w:hAnsi="宋体" w:cs="宋体"/>
                <w:color w:val="000000" w:themeColor="text1"/>
                <w:kern w:val="0"/>
                <w:sz w:val="20"/>
                <w:szCs w:val="20"/>
                <w:lang w:bidi="ar"/>
              </w:rPr>
              <w:t>ABE 406</w:t>
            </w:r>
          </w:p>
        </w:tc>
        <w:tc>
          <w:tcPr>
            <w:tcW w:w="2494" w:type="dxa"/>
            <w:vAlign w:val="center"/>
          </w:tcPr>
          <w:p>
            <w:pPr>
              <w:jc w:val="center"/>
              <w:rPr>
                <w:rFonts w:asciiTheme="minorEastAsia" w:hAnsiTheme="minorEastAsia" w:cstheme="minorEastAsia"/>
                <w:bCs/>
                <w:color w:val="000000" w:themeColor="text1"/>
                <w:kern w:val="0"/>
                <w:sz w:val="18"/>
                <w:szCs w:val="18"/>
              </w:rPr>
            </w:pPr>
            <w:r>
              <w:rPr>
                <w:rFonts w:hint="eastAsia" w:asciiTheme="minorEastAsia" w:hAnsiTheme="minorEastAsia" w:cstheme="minorEastAsia"/>
                <w:bCs/>
                <w:color w:val="000000" w:themeColor="text1"/>
                <w:kern w:val="0"/>
                <w:sz w:val="18"/>
                <w:szCs w:val="18"/>
              </w:rPr>
              <w:t xml:space="preserve">Managing Agile Organisations and People（MAOP） </w:t>
            </w:r>
          </w:p>
          <w:p>
            <w:pPr>
              <w:jc w:val="center"/>
              <w:rPr>
                <w:rFonts w:hint="eastAsia"/>
                <w:sz w:val="18"/>
                <w:szCs w:val="18"/>
              </w:rPr>
            </w:pPr>
            <w:r>
              <w:rPr>
                <w:rFonts w:hint="eastAsia" w:asciiTheme="minorEastAsia" w:hAnsiTheme="minorEastAsia" w:cstheme="minorEastAsia"/>
                <w:bCs/>
                <w:color w:val="000000" w:themeColor="text1"/>
                <w:kern w:val="0"/>
                <w:sz w:val="18"/>
                <w:szCs w:val="18"/>
              </w:rPr>
              <w:t>敏捷组织和人员管理</w:t>
            </w:r>
          </w:p>
        </w:tc>
        <w:tc>
          <w:tcPr>
            <w:tcW w:w="709" w:type="dxa"/>
            <w:vAlign w:val="center"/>
          </w:tcPr>
          <w:p>
            <w:pPr>
              <w:widowControl/>
              <w:spacing w:line="240" w:lineRule="exact"/>
              <w:jc w:val="center"/>
              <w:textAlignment w:val="cente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hint="eastAsia"/>
                <w:sz w:val="18"/>
                <w:szCs w:val="18"/>
              </w:rPr>
            </w:pPr>
            <w:r>
              <w:rPr>
                <w:rFonts w:hint="eastAsia" w:ascii="宋体" w:hAnsi="宋体" w:cs="宋体"/>
                <w:color w:val="000000" w:themeColor="text1"/>
                <w:kern w:val="0"/>
                <w:sz w:val="20"/>
                <w:szCs w:val="20"/>
                <w:lang w:bidi="ar"/>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hint="eastAsia"/>
                <w:sz w:val="18"/>
                <w:szCs w:val="18"/>
              </w:rPr>
            </w:pPr>
            <w:r>
              <w:rPr>
                <w:rFonts w:hint="eastAsia" w:ascii="宋体" w:hAnsi="宋体" w:eastAsia="宋体" w:cs="宋体"/>
                <w:color w:val="000000" w:themeColor="text1"/>
                <w:sz w:val="22"/>
              </w:rPr>
              <w:t>2</w:t>
            </w:r>
          </w:p>
        </w:tc>
        <w:tc>
          <w:tcPr>
            <w:tcW w:w="709" w:type="dxa"/>
            <w:vAlign w:val="center"/>
          </w:tcPr>
          <w:p>
            <w:pPr>
              <w:jc w:val="center"/>
              <w:rPr>
                <w:rFonts w:hint="eastAsia" w:ascii="宋体" w:hAnsi="宋体" w:eastAsia="宋体" w:cs="Times New Roman"/>
                <w:szCs w:val="21"/>
              </w:rPr>
            </w:pPr>
            <w:r>
              <w:rPr>
                <w:rFonts w:hint="eastAsia" w:ascii="宋体" w:hAnsi="宋体" w:eastAsia="宋体" w:cs="Times New Roman"/>
                <w:color w:val="000000" w:themeColor="text1"/>
                <w:szCs w:val="21"/>
              </w:rPr>
              <w:t>5</w:t>
            </w:r>
          </w:p>
        </w:tc>
        <w:tc>
          <w:tcPr>
            <w:tcW w:w="851" w:type="dxa"/>
            <w:vAlign w:val="center"/>
          </w:tcPr>
          <w:p>
            <w:pPr>
              <w:widowControl/>
              <w:jc w:val="center"/>
              <w:textAlignment w:val="center"/>
              <w:rPr>
                <w:rFonts w:hint="eastAsia"/>
                <w:sz w:val="18"/>
                <w:szCs w:val="18"/>
              </w:rPr>
            </w:pPr>
            <w:r>
              <w:rPr>
                <w:rFonts w:hint="eastAsia" w:ascii="宋体" w:hAnsi="宋体" w:cs="宋体"/>
                <w:color w:val="000000" w:themeColor="text1"/>
                <w:kern w:val="0"/>
                <w:sz w:val="20"/>
                <w:szCs w:val="20"/>
                <w:lang w:bidi="ar"/>
              </w:rPr>
              <w:t>考试</w:t>
            </w:r>
          </w:p>
        </w:tc>
        <w:tc>
          <w:tcPr>
            <w:tcW w:w="703" w:type="dxa"/>
            <w:vAlign w:val="center"/>
          </w:tcPr>
          <w:p>
            <w:pPr>
              <w:widowControl/>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shd w:val="clear" w:color="auto" w:fill="FFFFFF"/>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7</w:t>
            </w:r>
          </w:p>
        </w:tc>
        <w:tc>
          <w:tcPr>
            <w:tcW w:w="1200"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sz w:val="20"/>
                <w:szCs w:val="20"/>
              </w:rPr>
              <w:t>LMT203</w:t>
            </w:r>
          </w:p>
        </w:tc>
        <w:tc>
          <w:tcPr>
            <w:tcW w:w="2494" w:type="dxa"/>
            <w:vAlign w:val="center"/>
          </w:tcPr>
          <w:p>
            <w:pPr>
              <w:jc w:val="center"/>
              <w:rPr>
                <w:sz w:val="18"/>
                <w:szCs w:val="18"/>
              </w:rPr>
            </w:pPr>
            <w:r>
              <w:rPr>
                <w:rFonts w:hint="eastAsia"/>
                <w:color w:val="000000"/>
                <w:sz w:val="20"/>
                <w:szCs w:val="20"/>
              </w:rPr>
              <w:t>市场营销</w:t>
            </w:r>
          </w:p>
        </w:tc>
        <w:tc>
          <w:tcPr>
            <w:tcW w:w="709" w:type="dxa"/>
            <w:vAlign w:val="center"/>
          </w:tcPr>
          <w:p>
            <w:pPr>
              <w:jc w:val="center"/>
              <w:rPr>
                <w:color w:val="000000"/>
                <w:sz w:val="18"/>
                <w:szCs w:val="18"/>
              </w:rPr>
            </w:pPr>
            <w:r>
              <w:rPr>
                <w:rFonts w:hint="eastAsia"/>
                <w:color w:val="000000"/>
                <w:sz w:val="20"/>
                <w:szCs w:val="20"/>
              </w:rPr>
              <w:t>32</w:t>
            </w:r>
          </w:p>
        </w:tc>
        <w:tc>
          <w:tcPr>
            <w:tcW w:w="567" w:type="dxa"/>
            <w:vAlign w:val="center"/>
          </w:tcPr>
          <w:p>
            <w:pPr>
              <w:jc w:val="center"/>
              <w:rPr>
                <w:rFonts w:ascii="宋体" w:hAnsi="宋体" w:cs="宋体"/>
                <w:color w:val="000000" w:themeColor="text1"/>
                <w:kern w:val="0"/>
                <w:sz w:val="18"/>
                <w:szCs w:val="18"/>
                <w:lang w:bidi="ar"/>
              </w:rPr>
            </w:pPr>
            <w:r>
              <w:rPr>
                <w:rFonts w:hint="eastAsia"/>
                <w:color w:val="000000"/>
                <w:sz w:val="20"/>
                <w:szCs w:val="20"/>
              </w:rPr>
              <w:t>32</w:t>
            </w:r>
          </w:p>
        </w:tc>
        <w:tc>
          <w:tcPr>
            <w:tcW w:w="798" w:type="dxa"/>
            <w:vAlign w:val="center"/>
          </w:tcPr>
          <w:p>
            <w:pPr>
              <w:jc w:val="center"/>
              <w:rPr>
                <w:color w:val="000000"/>
                <w:sz w:val="18"/>
                <w:szCs w:val="18"/>
              </w:rPr>
            </w:pP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sz w:val="18"/>
                <w:szCs w:val="18"/>
              </w:rPr>
            </w:pPr>
            <w:r>
              <w:rPr>
                <w:rFonts w:hint="eastAsia"/>
                <w:sz w:val="18"/>
                <w:szCs w:val="18"/>
              </w:rPr>
              <w:t>2</w:t>
            </w:r>
          </w:p>
        </w:tc>
        <w:tc>
          <w:tcPr>
            <w:tcW w:w="709" w:type="dxa"/>
            <w:vMerge w:val="restart"/>
            <w:vAlign w:val="center"/>
          </w:tcPr>
          <w:p>
            <w:pPr>
              <w:shd w:val="clear" w:color="auto" w:fill="FFFFFF"/>
              <w:jc w:val="center"/>
              <w:rPr>
                <w:rFonts w:ascii="宋体" w:hAnsi="宋体" w:eastAsia="宋体" w:cs="Times New Roman"/>
                <w:szCs w:val="21"/>
              </w:rPr>
            </w:pPr>
            <w:r>
              <w:rPr>
                <w:rFonts w:hint="eastAsia" w:ascii="宋体" w:hAnsi="宋体" w:eastAsia="宋体" w:cs="Times New Roman"/>
                <w:sz w:val="18"/>
                <w:szCs w:val="18"/>
              </w:rPr>
              <w:t>根据自己的课程灵活选修</w:t>
            </w:r>
          </w:p>
        </w:tc>
        <w:tc>
          <w:tcPr>
            <w:tcW w:w="851" w:type="dxa"/>
            <w:vAlign w:val="center"/>
          </w:tcPr>
          <w:p>
            <w:pPr>
              <w:spacing w:line="240" w:lineRule="exact"/>
              <w:jc w:val="center"/>
              <w:rPr>
                <w:sz w:val="18"/>
                <w:szCs w:val="18"/>
              </w:rPr>
            </w:pPr>
            <w:r>
              <w:rPr>
                <w:rFonts w:hint="eastAsia"/>
                <w:sz w:val="18"/>
                <w:szCs w:val="18"/>
              </w:rPr>
              <w:t>考查</w:t>
            </w:r>
          </w:p>
        </w:tc>
        <w:tc>
          <w:tcPr>
            <w:tcW w:w="703" w:type="dxa"/>
            <w:vMerge w:val="restart"/>
            <w:vAlign w:val="center"/>
          </w:tcPr>
          <w:p>
            <w:pPr>
              <w:jc w:val="center"/>
              <w:rPr>
                <w:sz w:val="18"/>
                <w:szCs w:val="18"/>
              </w:rPr>
            </w:pPr>
            <w:r>
              <w:rPr>
                <w:sz w:val="18"/>
                <w:szCs w:val="18"/>
              </w:rPr>
              <w:t>专业选修课程</w:t>
            </w:r>
          </w:p>
          <w:p>
            <w:pPr>
              <w:widowControl/>
              <w:adjustRightInd w:val="0"/>
              <w:snapToGrid w:val="0"/>
              <w:jc w:val="center"/>
              <w:rPr>
                <w:rFonts w:ascii="宋体" w:hAnsi="宋体" w:eastAsia="宋体" w:cs="Times New Roman"/>
                <w:color w:val="FF0000"/>
                <w:kern w:val="0"/>
                <w:szCs w:val="21"/>
              </w:rPr>
            </w:pPr>
            <w:r>
              <w:rPr>
                <w:rFonts w:hint="eastAsia"/>
                <w:sz w:val="18"/>
                <w:szCs w:val="18"/>
              </w:rPr>
              <w:t>（至少修够14个学分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14" w:hRule="atLeas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200"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LMT204</w:t>
            </w:r>
          </w:p>
        </w:tc>
        <w:tc>
          <w:tcPr>
            <w:tcW w:w="2494" w:type="dxa"/>
            <w:vAlign w:val="center"/>
          </w:tcPr>
          <w:p>
            <w:pPr>
              <w:jc w:val="center"/>
              <w:rPr>
                <w:sz w:val="18"/>
                <w:szCs w:val="18"/>
              </w:rPr>
            </w:pPr>
            <w:r>
              <w:rPr>
                <w:rFonts w:hint="eastAsia" w:ascii="宋体" w:hAnsi="宋体" w:cs="宋体"/>
                <w:color w:val="000000"/>
                <w:sz w:val="20"/>
                <w:szCs w:val="20"/>
              </w:rPr>
              <w:t>冷链物流</w:t>
            </w:r>
          </w:p>
        </w:tc>
        <w:tc>
          <w:tcPr>
            <w:tcW w:w="709" w:type="dxa"/>
            <w:vAlign w:val="center"/>
          </w:tcPr>
          <w:p>
            <w:pPr>
              <w:jc w:val="center"/>
              <w:rPr>
                <w:color w:val="000000"/>
                <w:sz w:val="18"/>
                <w:szCs w:val="18"/>
              </w:rPr>
            </w:pPr>
            <w:r>
              <w:rPr>
                <w:rFonts w:hint="eastAsia"/>
                <w:color w:val="000000"/>
                <w:sz w:val="20"/>
                <w:szCs w:val="20"/>
              </w:rPr>
              <w:t>32</w:t>
            </w:r>
          </w:p>
        </w:tc>
        <w:tc>
          <w:tcPr>
            <w:tcW w:w="567" w:type="dxa"/>
            <w:vAlign w:val="center"/>
          </w:tcPr>
          <w:p>
            <w:pPr>
              <w:jc w:val="center"/>
              <w:rPr>
                <w:rFonts w:ascii="宋体" w:hAnsi="宋体" w:cs="宋体"/>
                <w:color w:val="000000" w:themeColor="text1"/>
                <w:kern w:val="0"/>
                <w:sz w:val="18"/>
                <w:szCs w:val="18"/>
                <w:lang w:bidi="ar"/>
              </w:rPr>
            </w:pPr>
            <w:r>
              <w:rPr>
                <w:rFonts w:hint="eastAsia"/>
                <w:color w:val="000000"/>
                <w:sz w:val="20"/>
                <w:szCs w:val="20"/>
              </w:rPr>
              <w:t>24</w:t>
            </w:r>
          </w:p>
        </w:tc>
        <w:tc>
          <w:tcPr>
            <w:tcW w:w="798" w:type="dxa"/>
            <w:vAlign w:val="center"/>
          </w:tcPr>
          <w:p>
            <w:pPr>
              <w:jc w:val="center"/>
              <w:rPr>
                <w:color w:val="000000"/>
                <w:sz w:val="18"/>
                <w:szCs w:val="18"/>
              </w:rPr>
            </w:pPr>
            <w:r>
              <w:rPr>
                <w:rFonts w:hint="eastAsia"/>
                <w:color w:val="000000"/>
                <w:sz w:val="20"/>
                <w:szCs w:val="20"/>
              </w:rPr>
              <w:t>8</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sz w:val="18"/>
                <w:szCs w:val="18"/>
              </w:rPr>
            </w:pPr>
            <w:r>
              <w:rPr>
                <w:rFonts w:hint="eastAsia"/>
                <w:sz w:val="18"/>
                <w:szCs w:val="18"/>
              </w:rPr>
              <w:t>2</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spacing w:line="240" w:lineRule="exact"/>
              <w:jc w:val="center"/>
              <w:rPr>
                <w:sz w:val="18"/>
                <w:szCs w:val="18"/>
              </w:rPr>
            </w:pPr>
            <w:r>
              <w:rPr>
                <w:rFonts w:hint="eastAsia"/>
                <w:sz w:val="18"/>
                <w:szCs w:val="18"/>
              </w:rPr>
              <w:t>考查</w:t>
            </w:r>
          </w:p>
        </w:tc>
        <w:tc>
          <w:tcPr>
            <w:tcW w:w="703" w:type="dxa"/>
            <w:vMerge w:val="continue"/>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0" w:hRule="atLeas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200" w:type="dxa"/>
            <w:vAlign w:val="center"/>
          </w:tcPr>
          <w:p>
            <w:pPr>
              <w:jc w:val="center"/>
              <w:rPr>
                <w:rFonts w:ascii="宋体" w:hAnsi="宋体" w:cs="宋体"/>
                <w:color w:val="000000" w:themeColor="text1"/>
                <w:kern w:val="0"/>
                <w:sz w:val="20"/>
                <w:szCs w:val="20"/>
                <w:lang w:bidi="ar"/>
              </w:rPr>
            </w:pPr>
            <w:r>
              <w:rPr>
                <w:rFonts w:hint="eastAsia" w:ascii="宋体" w:hAnsi="宋体" w:cs="宋体"/>
                <w:color w:val="000000"/>
                <w:sz w:val="20"/>
                <w:szCs w:val="20"/>
              </w:rPr>
              <w:t>LMT304</w:t>
            </w:r>
          </w:p>
        </w:tc>
        <w:tc>
          <w:tcPr>
            <w:tcW w:w="2494" w:type="dxa"/>
            <w:vAlign w:val="center"/>
          </w:tcPr>
          <w:p>
            <w:pPr>
              <w:jc w:val="center"/>
              <w:rPr>
                <w:sz w:val="18"/>
                <w:szCs w:val="18"/>
              </w:rPr>
            </w:pPr>
            <w:r>
              <w:rPr>
                <w:rFonts w:hint="eastAsia" w:ascii="宋体" w:hAnsi="宋体" w:cs="宋体"/>
                <w:color w:val="000000"/>
                <w:sz w:val="20"/>
                <w:szCs w:val="20"/>
              </w:rPr>
              <w:t>商品学概论</w:t>
            </w:r>
          </w:p>
        </w:tc>
        <w:tc>
          <w:tcPr>
            <w:tcW w:w="709" w:type="dxa"/>
            <w:vAlign w:val="center"/>
          </w:tcPr>
          <w:p>
            <w:pPr>
              <w:jc w:val="center"/>
              <w:rPr>
                <w:color w:val="000000"/>
                <w:sz w:val="18"/>
                <w:szCs w:val="18"/>
              </w:rPr>
            </w:pPr>
            <w:r>
              <w:rPr>
                <w:rFonts w:hint="eastAsia"/>
                <w:color w:val="000000"/>
                <w:sz w:val="20"/>
                <w:szCs w:val="20"/>
              </w:rPr>
              <w:t>32</w:t>
            </w:r>
          </w:p>
        </w:tc>
        <w:tc>
          <w:tcPr>
            <w:tcW w:w="567" w:type="dxa"/>
            <w:vAlign w:val="center"/>
          </w:tcPr>
          <w:p>
            <w:pPr>
              <w:jc w:val="center"/>
              <w:rPr>
                <w:rFonts w:ascii="宋体" w:hAnsi="宋体" w:cs="宋体"/>
                <w:color w:val="000000" w:themeColor="text1"/>
                <w:kern w:val="0"/>
                <w:sz w:val="18"/>
                <w:szCs w:val="18"/>
                <w:lang w:bidi="ar"/>
              </w:rPr>
            </w:pPr>
            <w:r>
              <w:rPr>
                <w:rFonts w:hint="eastAsia"/>
                <w:color w:val="000000"/>
                <w:sz w:val="20"/>
                <w:szCs w:val="20"/>
              </w:rPr>
              <w:t>26</w:t>
            </w:r>
          </w:p>
        </w:tc>
        <w:tc>
          <w:tcPr>
            <w:tcW w:w="798" w:type="dxa"/>
            <w:vAlign w:val="center"/>
          </w:tcPr>
          <w:p>
            <w:pPr>
              <w:jc w:val="center"/>
              <w:rPr>
                <w:color w:val="000000"/>
                <w:sz w:val="18"/>
                <w:szCs w:val="18"/>
              </w:rPr>
            </w:pPr>
            <w:r>
              <w:rPr>
                <w:rFonts w:hint="eastAsia"/>
                <w:color w:val="000000"/>
                <w:sz w:val="20"/>
                <w:szCs w:val="20"/>
              </w:rPr>
              <w:t>6</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sz w:val="18"/>
                <w:szCs w:val="18"/>
              </w:rPr>
            </w:pPr>
            <w:r>
              <w:rPr>
                <w:rFonts w:hint="eastAsia"/>
                <w:sz w:val="18"/>
                <w:szCs w:val="18"/>
              </w:rPr>
              <w:t>2</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spacing w:line="240" w:lineRule="exact"/>
              <w:jc w:val="center"/>
              <w:rPr>
                <w:sz w:val="18"/>
                <w:szCs w:val="18"/>
              </w:rPr>
            </w:pPr>
            <w:r>
              <w:rPr>
                <w:rFonts w:hint="eastAsia"/>
                <w:sz w:val="18"/>
                <w:szCs w:val="18"/>
              </w:rPr>
              <w:t>考查</w:t>
            </w:r>
          </w:p>
        </w:tc>
        <w:tc>
          <w:tcPr>
            <w:tcW w:w="703" w:type="dxa"/>
            <w:vMerge w:val="continue"/>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200"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LMT305</w:t>
            </w:r>
          </w:p>
        </w:tc>
        <w:tc>
          <w:tcPr>
            <w:tcW w:w="2494" w:type="dxa"/>
            <w:vAlign w:val="center"/>
          </w:tcPr>
          <w:p>
            <w:pPr>
              <w:jc w:val="center"/>
              <w:rPr>
                <w:sz w:val="18"/>
                <w:szCs w:val="18"/>
              </w:rPr>
            </w:pPr>
            <w:r>
              <w:rPr>
                <w:rFonts w:hint="eastAsia"/>
                <w:color w:val="000000"/>
                <w:sz w:val="20"/>
                <w:szCs w:val="20"/>
              </w:rPr>
              <w:t>公共关系实务</w:t>
            </w:r>
          </w:p>
        </w:tc>
        <w:tc>
          <w:tcPr>
            <w:tcW w:w="709" w:type="dxa"/>
            <w:vAlign w:val="center"/>
          </w:tcPr>
          <w:p>
            <w:pPr>
              <w:jc w:val="center"/>
              <w:rPr>
                <w:color w:val="000000"/>
                <w:sz w:val="18"/>
                <w:szCs w:val="18"/>
              </w:rPr>
            </w:pPr>
            <w:r>
              <w:rPr>
                <w:color w:val="000000"/>
                <w:sz w:val="20"/>
                <w:szCs w:val="20"/>
              </w:rPr>
              <w:t>32</w:t>
            </w:r>
          </w:p>
        </w:tc>
        <w:tc>
          <w:tcPr>
            <w:tcW w:w="567" w:type="dxa"/>
            <w:vAlign w:val="center"/>
          </w:tcPr>
          <w:p>
            <w:pPr>
              <w:jc w:val="center"/>
              <w:rPr>
                <w:rFonts w:ascii="宋体" w:hAnsi="宋体" w:cs="宋体"/>
                <w:color w:val="000000" w:themeColor="text1"/>
                <w:kern w:val="0"/>
                <w:sz w:val="18"/>
                <w:szCs w:val="18"/>
                <w:lang w:bidi="ar"/>
              </w:rPr>
            </w:pPr>
            <w:r>
              <w:rPr>
                <w:color w:val="000000"/>
                <w:sz w:val="20"/>
                <w:szCs w:val="20"/>
              </w:rPr>
              <w:t>26</w:t>
            </w:r>
          </w:p>
        </w:tc>
        <w:tc>
          <w:tcPr>
            <w:tcW w:w="798" w:type="dxa"/>
            <w:vAlign w:val="center"/>
          </w:tcPr>
          <w:p>
            <w:pPr>
              <w:jc w:val="center"/>
              <w:rPr>
                <w:color w:val="000000"/>
                <w:sz w:val="18"/>
                <w:szCs w:val="18"/>
              </w:rPr>
            </w:pPr>
            <w:r>
              <w:rPr>
                <w:color w:val="000000"/>
                <w:sz w:val="20"/>
                <w:szCs w:val="20"/>
              </w:rPr>
              <w:t>6</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sz w:val="18"/>
                <w:szCs w:val="18"/>
              </w:rPr>
            </w:pPr>
            <w:r>
              <w:rPr>
                <w:rFonts w:hint="eastAsia"/>
                <w:sz w:val="18"/>
                <w:szCs w:val="18"/>
              </w:rPr>
              <w:t>2</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spacing w:line="240" w:lineRule="exact"/>
              <w:jc w:val="center"/>
              <w:rPr>
                <w:sz w:val="18"/>
                <w:szCs w:val="18"/>
              </w:rPr>
            </w:pPr>
            <w:r>
              <w:rPr>
                <w:rFonts w:hint="eastAsia"/>
                <w:sz w:val="18"/>
                <w:szCs w:val="18"/>
              </w:rPr>
              <w:t>考查</w:t>
            </w:r>
          </w:p>
        </w:tc>
        <w:tc>
          <w:tcPr>
            <w:tcW w:w="703" w:type="dxa"/>
            <w:vMerge w:val="continue"/>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200"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LMT503</w:t>
            </w:r>
          </w:p>
        </w:tc>
        <w:tc>
          <w:tcPr>
            <w:tcW w:w="2494" w:type="dxa"/>
            <w:vAlign w:val="center"/>
          </w:tcPr>
          <w:p>
            <w:pPr>
              <w:jc w:val="center"/>
              <w:rPr>
                <w:sz w:val="18"/>
                <w:szCs w:val="18"/>
              </w:rPr>
            </w:pPr>
            <w:r>
              <w:rPr>
                <w:rFonts w:hint="eastAsia"/>
                <w:color w:val="000000"/>
                <w:sz w:val="20"/>
                <w:szCs w:val="20"/>
              </w:rPr>
              <w:t>企业文化</w:t>
            </w:r>
          </w:p>
        </w:tc>
        <w:tc>
          <w:tcPr>
            <w:tcW w:w="709" w:type="dxa"/>
            <w:vAlign w:val="center"/>
          </w:tcPr>
          <w:p>
            <w:pPr>
              <w:jc w:val="center"/>
              <w:rPr>
                <w:color w:val="000000"/>
                <w:sz w:val="18"/>
                <w:szCs w:val="18"/>
              </w:rPr>
            </w:pPr>
            <w:r>
              <w:rPr>
                <w:rFonts w:hint="eastAsia"/>
                <w:color w:val="000000"/>
                <w:sz w:val="20"/>
                <w:szCs w:val="20"/>
              </w:rPr>
              <w:t>32</w:t>
            </w:r>
          </w:p>
        </w:tc>
        <w:tc>
          <w:tcPr>
            <w:tcW w:w="567" w:type="dxa"/>
            <w:vAlign w:val="center"/>
          </w:tcPr>
          <w:p>
            <w:pPr>
              <w:jc w:val="center"/>
              <w:rPr>
                <w:rFonts w:ascii="宋体" w:hAnsi="宋体" w:cs="宋体"/>
                <w:color w:val="000000" w:themeColor="text1"/>
                <w:kern w:val="0"/>
                <w:sz w:val="18"/>
                <w:szCs w:val="18"/>
                <w:lang w:bidi="ar"/>
              </w:rPr>
            </w:pPr>
            <w:r>
              <w:rPr>
                <w:rFonts w:hint="eastAsia"/>
                <w:color w:val="000000"/>
                <w:sz w:val="20"/>
                <w:szCs w:val="20"/>
              </w:rPr>
              <w:t>32</w:t>
            </w:r>
          </w:p>
        </w:tc>
        <w:tc>
          <w:tcPr>
            <w:tcW w:w="798" w:type="dxa"/>
            <w:vAlign w:val="center"/>
          </w:tcPr>
          <w:p>
            <w:pPr>
              <w:jc w:val="center"/>
              <w:rPr>
                <w:color w:val="000000"/>
                <w:sz w:val="18"/>
                <w:szCs w:val="18"/>
              </w:rPr>
            </w:pP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sz w:val="18"/>
                <w:szCs w:val="18"/>
              </w:rPr>
            </w:pPr>
            <w:r>
              <w:rPr>
                <w:rFonts w:hint="eastAsia"/>
                <w:sz w:val="18"/>
                <w:szCs w:val="18"/>
              </w:rPr>
              <w:t>2</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spacing w:line="240" w:lineRule="exact"/>
              <w:jc w:val="center"/>
              <w:rPr>
                <w:sz w:val="18"/>
                <w:szCs w:val="18"/>
              </w:rPr>
            </w:pPr>
            <w:r>
              <w:rPr>
                <w:rFonts w:hint="eastAsia"/>
                <w:sz w:val="18"/>
                <w:szCs w:val="18"/>
              </w:rPr>
              <w:t>考查</w:t>
            </w:r>
          </w:p>
        </w:tc>
        <w:tc>
          <w:tcPr>
            <w:tcW w:w="703" w:type="dxa"/>
            <w:vMerge w:val="continue"/>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200"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LMT405</w:t>
            </w:r>
          </w:p>
        </w:tc>
        <w:tc>
          <w:tcPr>
            <w:tcW w:w="2494" w:type="dxa"/>
            <w:vAlign w:val="center"/>
          </w:tcPr>
          <w:p>
            <w:pPr>
              <w:jc w:val="center"/>
              <w:rPr>
                <w:sz w:val="18"/>
                <w:szCs w:val="18"/>
              </w:rPr>
            </w:pPr>
            <w:r>
              <w:rPr>
                <w:rFonts w:hint="eastAsia"/>
                <w:sz w:val="18"/>
                <w:szCs w:val="18"/>
              </w:rPr>
              <w:t>港口物流</w:t>
            </w:r>
          </w:p>
        </w:tc>
        <w:tc>
          <w:tcPr>
            <w:tcW w:w="709" w:type="dxa"/>
            <w:vAlign w:val="center"/>
          </w:tcPr>
          <w:p>
            <w:pPr>
              <w:jc w:val="center"/>
              <w:rPr>
                <w:color w:val="000000"/>
                <w:sz w:val="18"/>
                <w:szCs w:val="18"/>
              </w:rPr>
            </w:pPr>
            <w:r>
              <w:rPr>
                <w:rFonts w:hint="eastAsia"/>
                <w:color w:val="000000"/>
                <w:sz w:val="20"/>
                <w:szCs w:val="20"/>
              </w:rPr>
              <w:t>48</w:t>
            </w:r>
          </w:p>
        </w:tc>
        <w:tc>
          <w:tcPr>
            <w:tcW w:w="567" w:type="dxa"/>
            <w:vAlign w:val="center"/>
          </w:tcPr>
          <w:p>
            <w:pPr>
              <w:jc w:val="center"/>
              <w:rPr>
                <w:rFonts w:ascii="宋体" w:hAnsi="宋体" w:cs="宋体"/>
                <w:color w:val="000000" w:themeColor="text1"/>
                <w:kern w:val="0"/>
                <w:sz w:val="18"/>
                <w:szCs w:val="18"/>
                <w:lang w:bidi="ar"/>
              </w:rPr>
            </w:pPr>
            <w:r>
              <w:rPr>
                <w:rFonts w:hint="eastAsia"/>
                <w:color w:val="000000"/>
                <w:sz w:val="20"/>
                <w:szCs w:val="20"/>
              </w:rPr>
              <w:t>44</w:t>
            </w:r>
          </w:p>
        </w:tc>
        <w:tc>
          <w:tcPr>
            <w:tcW w:w="798" w:type="dxa"/>
            <w:vAlign w:val="center"/>
          </w:tcPr>
          <w:p>
            <w:pPr>
              <w:jc w:val="center"/>
              <w:rPr>
                <w:color w:val="000000"/>
                <w:sz w:val="18"/>
                <w:szCs w:val="18"/>
              </w:rPr>
            </w:pPr>
            <w:r>
              <w:rPr>
                <w:rFonts w:hint="eastAsia"/>
                <w:color w:val="000000"/>
                <w:sz w:val="20"/>
                <w:szCs w:val="20"/>
              </w:rPr>
              <w:t>4</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sz w:val="18"/>
                <w:szCs w:val="18"/>
              </w:rPr>
            </w:pPr>
            <w:r>
              <w:rPr>
                <w:rFonts w:hint="eastAsia"/>
                <w:sz w:val="18"/>
                <w:szCs w:val="18"/>
              </w:rPr>
              <w:t>2</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spacing w:line="240" w:lineRule="exact"/>
              <w:jc w:val="center"/>
              <w:rPr>
                <w:sz w:val="18"/>
                <w:szCs w:val="18"/>
              </w:rPr>
            </w:pPr>
            <w:r>
              <w:rPr>
                <w:rFonts w:hint="eastAsia"/>
                <w:sz w:val="18"/>
                <w:szCs w:val="18"/>
              </w:rPr>
              <w:t>考查</w:t>
            </w:r>
          </w:p>
        </w:tc>
        <w:tc>
          <w:tcPr>
            <w:tcW w:w="703" w:type="dxa"/>
            <w:vMerge w:val="continue"/>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0" w:hRule="atLeas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200"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LMT406</w:t>
            </w:r>
          </w:p>
        </w:tc>
        <w:tc>
          <w:tcPr>
            <w:tcW w:w="2494" w:type="dxa"/>
            <w:vAlign w:val="center"/>
          </w:tcPr>
          <w:p>
            <w:pPr>
              <w:jc w:val="center"/>
              <w:rPr>
                <w:sz w:val="18"/>
                <w:szCs w:val="18"/>
              </w:rPr>
            </w:pPr>
            <w:r>
              <w:rPr>
                <w:rFonts w:hint="eastAsia"/>
                <w:sz w:val="18"/>
                <w:szCs w:val="18"/>
              </w:rPr>
              <w:t>电子商务</w:t>
            </w:r>
          </w:p>
        </w:tc>
        <w:tc>
          <w:tcPr>
            <w:tcW w:w="709" w:type="dxa"/>
            <w:vAlign w:val="center"/>
          </w:tcPr>
          <w:p>
            <w:pPr>
              <w:jc w:val="center"/>
              <w:rPr>
                <w:color w:val="000000"/>
                <w:sz w:val="18"/>
                <w:szCs w:val="18"/>
              </w:rPr>
            </w:pPr>
            <w:r>
              <w:rPr>
                <w:rFonts w:hint="eastAsia"/>
                <w:color w:val="000000"/>
                <w:sz w:val="20"/>
                <w:szCs w:val="20"/>
              </w:rPr>
              <w:t>48</w:t>
            </w:r>
          </w:p>
        </w:tc>
        <w:tc>
          <w:tcPr>
            <w:tcW w:w="567" w:type="dxa"/>
            <w:vAlign w:val="center"/>
          </w:tcPr>
          <w:p>
            <w:pPr>
              <w:jc w:val="center"/>
              <w:rPr>
                <w:rFonts w:ascii="宋体" w:hAnsi="宋体" w:cs="宋体"/>
                <w:color w:val="000000" w:themeColor="text1"/>
                <w:kern w:val="0"/>
                <w:sz w:val="18"/>
                <w:szCs w:val="18"/>
                <w:lang w:bidi="ar"/>
              </w:rPr>
            </w:pPr>
            <w:r>
              <w:rPr>
                <w:rFonts w:hint="eastAsia"/>
                <w:color w:val="000000"/>
                <w:sz w:val="20"/>
                <w:szCs w:val="20"/>
              </w:rPr>
              <w:t>36</w:t>
            </w:r>
          </w:p>
        </w:tc>
        <w:tc>
          <w:tcPr>
            <w:tcW w:w="798" w:type="dxa"/>
            <w:vAlign w:val="center"/>
          </w:tcPr>
          <w:p>
            <w:pPr>
              <w:jc w:val="center"/>
              <w:rPr>
                <w:color w:val="000000"/>
                <w:sz w:val="18"/>
                <w:szCs w:val="18"/>
              </w:rPr>
            </w:pPr>
            <w:r>
              <w:rPr>
                <w:rFonts w:hint="eastAsia"/>
                <w:color w:val="000000"/>
                <w:sz w:val="20"/>
                <w:szCs w:val="20"/>
              </w:rPr>
              <w:t>12</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sz w:val="18"/>
                <w:szCs w:val="18"/>
              </w:rPr>
            </w:pPr>
            <w:r>
              <w:rPr>
                <w:rFonts w:hint="eastAsia"/>
                <w:sz w:val="18"/>
                <w:szCs w:val="18"/>
              </w:rPr>
              <w:t>2</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spacing w:line="240" w:lineRule="exact"/>
              <w:jc w:val="center"/>
              <w:rPr>
                <w:sz w:val="18"/>
                <w:szCs w:val="18"/>
              </w:rPr>
            </w:pPr>
            <w:r>
              <w:rPr>
                <w:rFonts w:hint="eastAsia"/>
                <w:sz w:val="18"/>
                <w:szCs w:val="18"/>
              </w:rPr>
              <w:t>考查</w:t>
            </w:r>
          </w:p>
        </w:tc>
        <w:tc>
          <w:tcPr>
            <w:tcW w:w="703" w:type="dxa"/>
            <w:vMerge w:val="continue"/>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200"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LMT504</w:t>
            </w:r>
          </w:p>
        </w:tc>
        <w:tc>
          <w:tcPr>
            <w:tcW w:w="2494" w:type="dxa"/>
            <w:vAlign w:val="center"/>
          </w:tcPr>
          <w:p>
            <w:pPr>
              <w:jc w:val="center"/>
              <w:rPr>
                <w:sz w:val="18"/>
                <w:szCs w:val="18"/>
              </w:rPr>
            </w:pPr>
            <w:r>
              <w:rPr>
                <w:rFonts w:hint="eastAsia"/>
                <w:color w:val="000000"/>
                <w:sz w:val="20"/>
                <w:szCs w:val="20"/>
              </w:rPr>
              <w:t>国际贸易实务</w:t>
            </w:r>
          </w:p>
        </w:tc>
        <w:tc>
          <w:tcPr>
            <w:tcW w:w="709" w:type="dxa"/>
            <w:vAlign w:val="center"/>
          </w:tcPr>
          <w:p>
            <w:pPr>
              <w:jc w:val="center"/>
              <w:rPr>
                <w:color w:val="000000"/>
                <w:sz w:val="18"/>
                <w:szCs w:val="18"/>
              </w:rPr>
            </w:pPr>
            <w:r>
              <w:rPr>
                <w:rFonts w:hint="eastAsia"/>
                <w:color w:val="000000"/>
                <w:sz w:val="20"/>
                <w:szCs w:val="20"/>
              </w:rPr>
              <w:t>48</w:t>
            </w:r>
          </w:p>
        </w:tc>
        <w:tc>
          <w:tcPr>
            <w:tcW w:w="567" w:type="dxa"/>
            <w:vAlign w:val="center"/>
          </w:tcPr>
          <w:p>
            <w:pPr>
              <w:jc w:val="center"/>
              <w:rPr>
                <w:rFonts w:ascii="宋体" w:hAnsi="宋体" w:cs="宋体"/>
                <w:color w:val="000000" w:themeColor="text1"/>
                <w:kern w:val="0"/>
                <w:sz w:val="18"/>
                <w:szCs w:val="18"/>
                <w:lang w:bidi="ar"/>
              </w:rPr>
            </w:pPr>
            <w:r>
              <w:rPr>
                <w:rFonts w:hint="eastAsia"/>
                <w:color w:val="000000"/>
                <w:sz w:val="20"/>
                <w:szCs w:val="20"/>
              </w:rPr>
              <w:t>48</w:t>
            </w:r>
          </w:p>
        </w:tc>
        <w:tc>
          <w:tcPr>
            <w:tcW w:w="798" w:type="dxa"/>
            <w:vAlign w:val="center"/>
          </w:tcPr>
          <w:p>
            <w:pPr>
              <w:jc w:val="center"/>
              <w:rPr>
                <w:color w:val="000000"/>
                <w:sz w:val="18"/>
                <w:szCs w:val="18"/>
              </w:rPr>
            </w:pP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sz w:val="18"/>
                <w:szCs w:val="18"/>
              </w:rPr>
            </w:pPr>
            <w:r>
              <w:rPr>
                <w:rFonts w:hint="eastAsia"/>
                <w:sz w:val="18"/>
                <w:szCs w:val="18"/>
              </w:rPr>
              <w:t>3</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spacing w:line="240" w:lineRule="exact"/>
              <w:jc w:val="center"/>
              <w:rPr>
                <w:sz w:val="18"/>
                <w:szCs w:val="18"/>
              </w:rPr>
            </w:pPr>
            <w:r>
              <w:rPr>
                <w:rFonts w:hint="eastAsia"/>
                <w:sz w:val="18"/>
                <w:szCs w:val="18"/>
              </w:rPr>
              <w:t>考查</w:t>
            </w:r>
          </w:p>
        </w:tc>
        <w:tc>
          <w:tcPr>
            <w:tcW w:w="703" w:type="dxa"/>
            <w:vMerge w:val="continue"/>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200" w:type="dxa"/>
            <w:vAlign w:val="center"/>
          </w:tcPr>
          <w:p>
            <w:pPr>
              <w:jc w:val="center"/>
              <w:rPr>
                <w:rFonts w:ascii="宋体" w:hAnsi="宋体" w:cs="宋体"/>
                <w:color w:val="000000" w:themeColor="text1"/>
                <w:kern w:val="0"/>
                <w:sz w:val="20"/>
                <w:szCs w:val="20"/>
                <w:lang w:bidi="ar"/>
              </w:rPr>
            </w:pPr>
            <w:r>
              <w:rPr>
                <w:rFonts w:hint="eastAsia"/>
                <w:color w:val="000000"/>
                <w:sz w:val="20"/>
                <w:szCs w:val="20"/>
              </w:rPr>
              <w:t>LMT505</w:t>
            </w:r>
          </w:p>
        </w:tc>
        <w:tc>
          <w:tcPr>
            <w:tcW w:w="2494" w:type="dxa"/>
            <w:vAlign w:val="center"/>
          </w:tcPr>
          <w:p>
            <w:pPr>
              <w:jc w:val="center"/>
              <w:rPr>
                <w:sz w:val="18"/>
                <w:szCs w:val="18"/>
              </w:rPr>
            </w:pPr>
            <w:r>
              <w:rPr>
                <w:rFonts w:hint="eastAsia"/>
                <w:color w:val="000000"/>
                <w:sz w:val="20"/>
                <w:szCs w:val="20"/>
              </w:rPr>
              <w:t>物流英语</w:t>
            </w:r>
          </w:p>
        </w:tc>
        <w:tc>
          <w:tcPr>
            <w:tcW w:w="709" w:type="dxa"/>
            <w:vAlign w:val="center"/>
          </w:tcPr>
          <w:p>
            <w:pPr>
              <w:jc w:val="center"/>
              <w:rPr>
                <w:color w:val="000000"/>
                <w:sz w:val="18"/>
                <w:szCs w:val="18"/>
              </w:rPr>
            </w:pPr>
            <w:r>
              <w:rPr>
                <w:rFonts w:hint="eastAsia"/>
                <w:color w:val="000000"/>
                <w:sz w:val="20"/>
                <w:szCs w:val="20"/>
              </w:rPr>
              <w:t>48</w:t>
            </w:r>
          </w:p>
        </w:tc>
        <w:tc>
          <w:tcPr>
            <w:tcW w:w="567" w:type="dxa"/>
            <w:vAlign w:val="center"/>
          </w:tcPr>
          <w:p>
            <w:pPr>
              <w:jc w:val="center"/>
              <w:rPr>
                <w:rFonts w:ascii="宋体" w:hAnsi="宋体" w:cs="宋体"/>
                <w:color w:val="000000" w:themeColor="text1"/>
                <w:kern w:val="0"/>
                <w:sz w:val="18"/>
                <w:szCs w:val="18"/>
                <w:lang w:bidi="ar"/>
              </w:rPr>
            </w:pPr>
            <w:r>
              <w:rPr>
                <w:rFonts w:hint="eastAsia"/>
                <w:color w:val="000000"/>
                <w:sz w:val="20"/>
                <w:szCs w:val="20"/>
              </w:rPr>
              <w:t>48</w:t>
            </w:r>
          </w:p>
        </w:tc>
        <w:tc>
          <w:tcPr>
            <w:tcW w:w="798" w:type="dxa"/>
            <w:vAlign w:val="center"/>
          </w:tcPr>
          <w:p>
            <w:pPr>
              <w:jc w:val="center"/>
              <w:rPr>
                <w:color w:val="000000"/>
                <w:sz w:val="18"/>
                <w:szCs w:val="18"/>
              </w:rPr>
            </w:pP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sz w:val="18"/>
                <w:szCs w:val="18"/>
              </w:rPr>
            </w:pPr>
            <w:r>
              <w:rPr>
                <w:rFonts w:hint="eastAsia"/>
                <w:sz w:val="18"/>
                <w:szCs w:val="18"/>
              </w:rPr>
              <w:t>3</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spacing w:line="240" w:lineRule="exact"/>
              <w:jc w:val="center"/>
              <w:rPr>
                <w:sz w:val="18"/>
                <w:szCs w:val="18"/>
              </w:rPr>
            </w:pPr>
            <w:r>
              <w:rPr>
                <w:rFonts w:hint="eastAsia"/>
                <w:sz w:val="18"/>
                <w:szCs w:val="18"/>
              </w:rPr>
              <w:t>考查</w:t>
            </w:r>
          </w:p>
        </w:tc>
        <w:tc>
          <w:tcPr>
            <w:tcW w:w="703" w:type="dxa"/>
            <w:vMerge w:val="continue"/>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480</w:t>
            </w:r>
          </w:p>
        </w:tc>
        <w:tc>
          <w:tcPr>
            <w:tcW w:w="567"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472</w:t>
            </w:r>
          </w:p>
        </w:tc>
        <w:tc>
          <w:tcPr>
            <w:tcW w:w="1698" w:type="dxa"/>
            <w:gridSpan w:val="2"/>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70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30</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 xml:space="preserve"> </w:t>
            </w: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6.</w:t>
      </w:r>
      <w:r>
        <w:rPr>
          <w:rFonts w:hint="eastAsia" w:ascii="仿宋_GB2312" w:hAnsi="Times New Roman" w:eastAsia="仿宋_GB2312" w:cs="Times New Roman"/>
          <w:b/>
          <w:color w:val="000000" w:themeColor="text1"/>
          <w:sz w:val="24"/>
          <w:szCs w:val="24"/>
        </w:rPr>
        <w:t>专业拓展课程</w:t>
      </w:r>
      <w:r>
        <w:rPr>
          <w:rFonts w:hint="eastAsia" w:ascii="仿宋_GB2312" w:hAnsi="Times New Roman" w:eastAsia="仿宋_GB2312" w:cs="Times New Roman"/>
          <w:b/>
          <w:sz w:val="24"/>
          <w:szCs w:val="24"/>
        </w:rPr>
        <w:t>内容及要求</w:t>
      </w:r>
    </w:p>
    <w:tbl>
      <w:tblPr>
        <w:tblStyle w:val="1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bCs/>
                <w:color w:val="000000" w:themeColor="text1"/>
                <w:kern w:val="0"/>
                <w:sz w:val="20"/>
                <w:szCs w:val="21"/>
              </w:rPr>
            </w:pPr>
            <w:r>
              <w:rPr>
                <w:rFonts w:hint="eastAsia" w:ascii="Times New Roman" w:hAnsi="Times New Roman" w:eastAsia="宋体" w:cs="Times New Roman"/>
                <w:sz w:val="18"/>
                <w:szCs w:val="18"/>
              </w:rPr>
              <w:t>物流信息技术</w:t>
            </w:r>
          </w:p>
        </w:tc>
        <w:tc>
          <w:tcPr>
            <w:tcW w:w="5803" w:type="dxa"/>
            <w:vAlign w:val="center"/>
          </w:tcPr>
          <w:p>
            <w:pPr>
              <w:widowControl/>
              <w:shd w:val="clear" w:color="auto" w:fill="FFFFFF"/>
              <w:spacing w:before="300" w:after="225"/>
              <w:ind w:firstLine="420"/>
              <w:jc w:val="left"/>
              <w:rPr>
                <w:rFonts w:ascii="宋体" w:hAnsi="宋体" w:eastAsia="宋体" w:cs="宋体"/>
                <w:color w:val="000000" w:themeColor="text1"/>
                <w:kern w:val="0"/>
                <w:sz w:val="18"/>
                <w:szCs w:val="18"/>
              </w:rPr>
            </w:pPr>
            <w:r>
              <w:rPr>
                <w:rFonts w:hint="eastAsia" w:eastAsia="宋体" w:asciiTheme="minorEastAsia" w:hAnsiTheme="minorEastAsia" w:cstheme="minorEastAsia"/>
                <w:color w:val="000000" w:themeColor="text1"/>
                <w:kern w:val="0"/>
                <w:sz w:val="18"/>
                <w:szCs w:val="18"/>
              </w:rPr>
              <w:t xml:space="preserve"> </w:t>
            </w:r>
            <w:r>
              <w:rPr>
                <w:rFonts w:hint="eastAsia" w:eastAsia="宋体" w:asciiTheme="minorEastAsia" w:hAnsiTheme="minorEastAsia" w:cstheme="minorEastAsia"/>
                <w:color w:val="333333"/>
                <w:kern w:val="0"/>
                <w:sz w:val="18"/>
                <w:szCs w:val="18"/>
                <w:shd w:val="clear" w:color="auto" w:fill="FFFFFF"/>
                <w:lang w:bidi="ar"/>
              </w:rPr>
              <w:t>物流信息技术是构筑现代物流信息技术的几个关键技术原理及其在物流领域的应用。 内容主要涉及物流信息技术概论、数据库管理与网络技术、物流管理信息系统、物流条码技术、物流EDI技术、GPS与GIS技术、智能运输系统、电子订货系统等</w:t>
            </w:r>
            <w:r>
              <w:rPr>
                <w:rFonts w:hint="eastAsia" w:eastAsia="宋体" w:asciiTheme="minorEastAsia" w:hAnsiTheme="minorEastAsia" w:cstheme="minorEastAsia"/>
                <w:color w:val="333333"/>
                <w:kern w:val="0"/>
                <w:sz w:val="18"/>
                <w:szCs w:val="18"/>
                <w:shd w:val="clear" w:color="auto" w:fill="FFFFFF"/>
                <w:lang w:eastAsia="zh-CN" w:bidi="ar"/>
              </w:rPr>
              <w:t>。</w:t>
            </w:r>
            <w:r>
              <w:rPr>
                <w:rFonts w:hint="eastAsia" w:eastAsia="宋体" w:asciiTheme="minorEastAsia" w:hAnsiTheme="minorEastAsia" w:cstheme="minorEastAsia"/>
                <w:color w:val="333333"/>
                <w:kern w:val="0"/>
                <w:sz w:val="18"/>
                <w:szCs w:val="18"/>
                <w:shd w:val="clear" w:color="auto" w:fill="FFFFFF"/>
                <w:lang w:bidi="ar"/>
              </w:rPr>
              <w:t>通过学习本课程让学生掌握物流条码技术、物流的EDI技术、GPS与GIS技术，并学会运用物流信息技术在实际的生活当中。解决物流信息问题。为社会输送具有熟练的物流信息技术的优秀人才。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Times New Roman" w:hAnsi="Times New Roman" w:eastAsia="宋体" w:cs="Times New Roman"/>
                <w:sz w:val="18"/>
                <w:szCs w:val="18"/>
              </w:rPr>
              <w:t>物流客户服务与管理</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物流客户服务与管理》课程是针对于物流职业领域物流客户服务工作岗位而设置的课程，基于工作过程导向和教学项目设计为创新点的“物流客户服务”课程是物流管理专业的核心课程。本书的主要内容为物流客户服务认知、物流客户开发与拜访、物流客户接待、物理客户投诉管理、物流客户关系维护、物流客户服务绩效评估、物流客户关系管理软件应用七个内容。</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学生通过学习本课程、掌握物流客户服务技巧，提高其沟通和解决问题的能力，并运用在实际的生活当中。学会处理客户与工作人员之间的矛盾、正确的处理好客户与上级领导之间的关系。培养适合社会发展的物流专业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spacing w:line="240" w:lineRule="exact"/>
              <w:jc w:val="center"/>
              <w:rPr>
                <w:rFonts w:ascii="宋体" w:hAnsi="宋体" w:eastAsia="宋体" w:cs="宋体"/>
                <w:bCs/>
                <w:color w:val="000000" w:themeColor="text1"/>
                <w:kern w:val="0"/>
                <w:sz w:val="20"/>
                <w:szCs w:val="21"/>
              </w:rPr>
            </w:pPr>
            <w:r>
              <w:rPr>
                <w:rFonts w:hint="eastAsia" w:ascii="Times New Roman" w:hAnsi="Times New Roman" w:eastAsia="宋体" w:cs="Times New Roman"/>
                <w:sz w:val="18"/>
                <w:szCs w:val="18"/>
              </w:rPr>
              <w:t>物流项目管理</w:t>
            </w:r>
          </w:p>
        </w:tc>
        <w:tc>
          <w:tcPr>
            <w:tcW w:w="5803" w:type="dxa"/>
            <w:vAlign w:val="center"/>
          </w:tcPr>
          <w:p>
            <w:pPr>
              <w:widowControl/>
              <w:shd w:val="clear" w:color="auto" w:fill="FFFFFF"/>
              <w:spacing w:before="300" w:after="225"/>
              <w:ind w:firstLine="420"/>
              <w:jc w:val="left"/>
              <w:rPr>
                <w:rFonts w:ascii="宋体" w:hAnsi="宋体" w:eastAsia="宋体" w:cs="宋体"/>
                <w:color w:val="000000" w:themeColor="text1"/>
                <w:kern w:val="0"/>
                <w:sz w:val="18"/>
                <w:szCs w:val="18"/>
              </w:rPr>
            </w:pPr>
            <w:r>
              <w:rPr>
                <w:rFonts w:hint="eastAsia" w:eastAsia="宋体" w:asciiTheme="minorEastAsia" w:hAnsiTheme="minorEastAsia" w:cstheme="minorEastAsia"/>
                <w:color w:val="000000" w:themeColor="text1"/>
                <w:kern w:val="0"/>
                <w:sz w:val="18"/>
                <w:szCs w:val="18"/>
              </w:rPr>
              <w:t>本课程的主要内容为</w:t>
            </w:r>
            <w:r>
              <w:rPr>
                <w:rFonts w:hint="eastAsia" w:eastAsia="宋体" w:asciiTheme="minorEastAsia" w:hAnsiTheme="minorEastAsia" w:cstheme="minorEastAsia"/>
                <w:color w:val="333333"/>
                <w:kern w:val="0"/>
                <w:sz w:val="18"/>
                <w:szCs w:val="18"/>
                <w:shd w:val="clear" w:color="auto" w:fill="FFFFFF"/>
                <w:lang w:bidi="ar"/>
              </w:rPr>
              <w:t>包括物流项目管理</w:t>
            </w:r>
            <w:r>
              <w:rPr>
                <w:rFonts w:hint="eastAsia" w:eastAsia="宋体" w:asciiTheme="minorEastAsia" w:hAnsiTheme="minorEastAsia" w:cstheme="minorEastAsia"/>
                <w:kern w:val="0"/>
                <w:sz w:val="18"/>
                <w:szCs w:val="18"/>
                <w:shd w:val="clear" w:color="auto" w:fill="FFFFFF"/>
                <w:lang w:bidi="ar"/>
              </w:rPr>
              <w:t>概述、</w:t>
            </w:r>
            <w:r>
              <w:fldChar w:fldCharType="begin"/>
            </w:r>
            <w:r>
              <w:instrText xml:space="preserve"> HYPERLINK "https://baike.baidu.com/item/%E7%89%A9%E6%B5%81%E9%A1%B9%E7%9B%AE/5353886" \t "https://baike.baidu.com/item/_blank" </w:instrText>
            </w:r>
            <w:r>
              <w:fldChar w:fldCharType="separate"/>
            </w:r>
            <w:r>
              <w:rPr>
                <w:rStyle w:val="35"/>
                <w:rFonts w:hint="eastAsia" w:eastAsia="宋体" w:asciiTheme="minorEastAsia" w:hAnsiTheme="minorEastAsia" w:cstheme="minorEastAsia"/>
                <w:color w:val="auto"/>
                <w:sz w:val="18"/>
                <w:szCs w:val="18"/>
                <w:u w:val="none"/>
                <w:shd w:val="clear" w:color="auto" w:fill="FFFFFF"/>
              </w:rPr>
              <w:t>物流项目</w:t>
            </w:r>
            <w:r>
              <w:rPr>
                <w:rStyle w:val="35"/>
                <w:rFonts w:hint="eastAsia" w:eastAsia="宋体" w:asciiTheme="minorEastAsia" w:hAnsiTheme="minorEastAsia" w:cstheme="minorEastAsia"/>
                <w:color w:val="auto"/>
                <w:sz w:val="18"/>
                <w:szCs w:val="18"/>
                <w:u w:val="none"/>
                <w:shd w:val="clear" w:color="auto" w:fill="FFFFFF"/>
              </w:rPr>
              <w:fldChar w:fldCharType="end"/>
            </w:r>
            <w:r>
              <w:rPr>
                <w:rFonts w:hint="eastAsia" w:eastAsia="宋体" w:asciiTheme="minorEastAsia" w:hAnsiTheme="minorEastAsia" w:cstheme="minorEastAsia"/>
                <w:kern w:val="0"/>
                <w:sz w:val="18"/>
                <w:szCs w:val="18"/>
                <w:shd w:val="clear" w:color="auto" w:fill="FFFFFF"/>
                <w:lang w:bidi="ar"/>
              </w:rPr>
              <w:t>的可行性研究、物流项目组织与人力资源管理、物流项目计划管理、物流</w:t>
            </w:r>
            <w:r>
              <w:fldChar w:fldCharType="begin"/>
            </w:r>
            <w:r>
              <w:instrText xml:space="preserve"> HYPERLINK "https://baike.baidu.com/item/%E9%A1%B9%E7%9B%AE%E8%BF%9B%E5%BA%A6%E7%AE%A1%E7%90%86/2080828" \t "https://baike.baidu.com/item/_blank" </w:instrText>
            </w:r>
            <w:r>
              <w:fldChar w:fldCharType="separate"/>
            </w:r>
            <w:r>
              <w:rPr>
                <w:rStyle w:val="35"/>
                <w:rFonts w:hint="eastAsia" w:eastAsia="宋体" w:asciiTheme="minorEastAsia" w:hAnsiTheme="minorEastAsia" w:cstheme="minorEastAsia"/>
                <w:color w:val="auto"/>
                <w:sz w:val="18"/>
                <w:szCs w:val="18"/>
                <w:u w:val="none"/>
                <w:shd w:val="clear" w:color="auto" w:fill="FFFFFF"/>
              </w:rPr>
              <w:t>项目进度管理</w:t>
            </w:r>
            <w:r>
              <w:rPr>
                <w:rStyle w:val="35"/>
                <w:rFonts w:hint="eastAsia" w:eastAsia="宋体" w:asciiTheme="minorEastAsia" w:hAnsiTheme="minorEastAsia" w:cstheme="minorEastAsia"/>
                <w:color w:val="auto"/>
                <w:sz w:val="18"/>
                <w:szCs w:val="18"/>
                <w:u w:val="none"/>
                <w:shd w:val="clear" w:color="auto" w:fill="FFFFFF"/>
              </w:rPr>
              <w:fldChar w:fldCharType="end"/>
            </w:r>
            <w:r>
              <w:rPr>
                <w:rFonts w:hint="eastAsia" w:eastAsia="宋体" w:asciiTheme="minorEastAsia" w:hAnsiTheme="minorEastAsia" w:cstheme="minorEastAsia"/>
                <w:kern w:val="0"/>
                <w:sz w:val="18"/>
                <w:szCs w:val="18"/>
                <w:shd w:val="clear" w:color="auto" w:fill="FFFFFF"/>
                <w:lang w:bidi="ar"/>
              </w:rPr>
              <w:t>、物流项目</w:t>
            </w:r>
            <w:r>
              <w:fldChar w:fldCharType="begin"/>
            </w:r>
            <w:r>
              <w:instrText xml:space="preserve"> HYPERLINK "https://baike.baidu.com/item/%E8%B4%A8%E9%87%8F%E7%AE%A1%E7%90%86/5267" \t "https://baike.baidu.com/item/_blank" </w:instrText>
            </w:r>
            <w:r>
              <w:fldChar w:fldCharType="separate"/>
            </w:r>
            <w:r>
              <w:rPr>
                <w:rStyle w:val="35"/>
                <w:rFonts w:hint="eastAsia" w:eastAsia="宋体" w:asciiTheme="minorEastAsia" w:hAnsiTheme="minorEastAsia" w:cstheme="minorEastAsia"/>
                <w:color w:val="auto"/>
                <w:sz w:val="18"/>
                <w:szCs w:val="18"/>
                <w:u w:val="none"/>
                <w:shd w:val="clear" w:color="auto" w:fill="FFFFFF"/>
              </w:rPr>
              <w:t>质量管理</w:t>
            </w:r>
            <w:r>
              <w:rPr>
                <w:rStyle w:val="35"/>
                <w:rFonts w:hint="eastAsia" w:eastAsia="宋体" w:asciiTheme="minorEastAsia" w:hAnsiTheme="minorEastAsia" w:cstheme="minorEastAsia"/>
                <w:color w:val="auto"/>
                <w:sz w:val="18"/>
                <w:szCs w:val="18"/>
                <w:u w:val="none"/>
                <w:shd w:val="clear" w:color="auto" w:fill="FFFFFF"/>
              </w:rPr>
              <w:fldChar w:fldCharType="end"/>
            </w:r>
            <w:r>
              <w:rPr>
                <w:rFonts w:hint="eastAsia" w:eastAsia="宋体" w:asciiTheme="minorEastAsia" w:hAnsiTheme="minorEastAsia" w:cstheme="minorEastAsia"/>
                <w:kern w:val="0"/>
                <w:sz w:val="18"/>
                <w:szCs w:val="18"/>
                <w:shd w:val="clear" w:color="auto" w:fill="FFFFFF"/>
                <w:lang w:bidi="ar"/>
              </w:rPr>
              <w:t>、物流项目合同管理、物流项目成本管理、物流项目风险管理。</w:t>
            </w:r>
            <w:r>
              <w:rPr>
                <w:rFonts w:hint="eastAsia" w:eastAsia="宋体" w:asciiTheme="minorEastAsia" w:hAnsiTheme="minorEastAsia" w:cstheme="minorEastAsia"/>
                <w:color w:val="333333"/>
                <w:kern w:val="0"/>
                <w:sz w:val="18"/>
                <w:szCs w:val="18"/>
                <w:shd w:val="clear" w:color="auto" w:fill="FFFFFF"/>
                <w:lang w:bidi="ar"/>
              </w:rPr>
              <w:t>本课程要求学生掌握项目建设的方法，项目建设的合同管理以及项目建设的成本管理，以最少的成本进行项目的实行。本课程主要培养具有项目管理技能的专业型人才，为社会输送优秀的人才。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spacing w:line="240" w:lineRule="exact"/>
              <w:jc w:val="center"/>
              <w:rPr>
                <w:rFonts w:ascii="宋体" w:hAnsi="宋体" w:eastAsia="宋体" w:cs="宋体"/>
                <w:bCs/>
                <w:color w:val="000000" w:themeColor="text1"/>
                <w:kern w:val="0"/>
                <w:sz w:val="20"/>
                <w:szCs w:val="21"/>
              </w:rPr>
            </w:pPr>
            <w:r>
              <w:rPr>
                <w:rFonts w:hint="eastAsia" w:ascii="Times New Roman" w:hAnsi="Times New Roman" w:eastAsia="宋体" w:cs="Times New Roman"/>
                <w:sz w:val="18"/>
                <w:szCs w:val="18"/>
              </w:rPr>
              <w:t>报检报关</w:t>
            </w:r>
          </w:p>
        </w:tc>
        <w:tc>
          <w:tcPr>
            <w:tcW w:w="5803" w:type="dxa"/>
            <w:vAlign w:val="center"/>
          </w:tcPr>
          <w:p>
            <w:pPr>
              <w:widowControl/>
              <w:shd w:val="clear" w:color="auto" w:fill="FFFFFF"/>
              <w:spacing w:before="300" w:after="225"/>
              <w:ind w:firstLine="420"/>
              <w:jc w:val="left"/>
              <w:rPr>
                <w:rFonts w:ascii="宋体" w:hAnsi="宋体" w:eastAsia="宋体" w:cs="宋体"/>
                <w:color w:val="000000" w:themeColor="text1"/>
                <w:kern w:val="0"/>
                <w:sz w:val="18"/>
                <w:szCs w:val="18"/>
              </w:rPr>
            </w:pPr>
            <w:r>
              <w:rPr>
                <w:rFonts w:hint="eastAsia" w:ascii="Arial" w:hAnsi="Arial" w:eastAsia="宋体" w:cs="Arial"/>
                <w:color w:val="333333"/>
                <w:kern w:val="0"/>
                <w:sz w:val="18"/>
                <w:szCs w:val="18"/>
                <w:shd w:val="clear" w:color="auto" w:fill="FFFFFF"/>
                <w:lang w:bidi="ar"/>
              </w:rPr>
              <w:t>本课程主要内容</w:t>
            </w:r>
            <w:r>
              <w:rPr>
                <w:rFonts w:ascii="Arial" w:hAnsi="Arial" w:eastAsia="宋体" w:cs="Arial"/>
                <w:color w:val="333333"/>
                <w:kern w:val="0"/>
                <w:sz w:val="18"/>
                <w:szCs w:val="18"/>
                <w:shd w:val="clear" w:color="auto" w:fill="FFFFFF"/>
                <w:lang w:bidi="ar"/>
              </w:rPr>
              <w:t>包括报关实务和报检实务两大部分：报关实务部分，重点描写了报关从业人员必备的报关程序操作技能、报关单填制技术、进出口商品归类技术。报检实务部分，重点描写了报关从业人员必备的报检工作程序操作技能、特殊商品报检技能</w:t>
            </w:r>
            <w:r>
              <w:rPr>
                <w:rFonts w:ascii="Arial" w:hAnsi="Arial" w:eastAsia="宋体" w:cs="Arial"/>
                <w:color w:val="333333"/>
                <w:kern w:val="0"/>
                <w:szCs w:val="21"/>
                <w:shd w:val="clear" w:color="auto" w:fill="FFFFFF"/>
                <w:lang w:bidi="ar"/>
              </w:rPr>
              <w:t>。</w:t>
            </w:r>
            <w:r>
              <w:rPr>
                <w:rFonts w:hint="eastAsia" w:ascii="Arial" w:hAnsi="Arial" w:eastAsia="宋体" w:cs="Arial"/>
                <w:kern w:val="0"/>
                <w:sz w:val="15"/>
                <w:szCs w:val="15"/>
                <w:shd w:val="clear" w:color="auto" w:fill="FFFFFF"/>
                <w:lang w:bidi="ar"/>
              </w:rPr>
              <w:t xml:space="preserve"> </w:t>
            </w:r>
            <w:r>
              <w:rPr>
                <w:rFonts w:hint="eastAsia" w:ascii="Arial" w:hAnsi="Arial" w:eastAsia="宋体" w:cs="Arial"/>
                <w:kern w:val="0"/>
                <w:sz w:val="18"/>
                <w:szCs w:val="18"/>
                <w:shd w:val="clear" w:color="auto" w:fill="FFFFFF"/>
                <w:lang w:bidi="ar"/>
              </w:rPr>
              <w:t>通过学习《报检报关》的课程，使学生掌握报关的工作流程，为社会输送具有扎实的报关专业技能的工作人员，使学生掌握报关单的填写，熟悉报关单填写的流程与方法，为即将来的就业提供良好的专业知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eastAsia" w:ascii="宋体" w:hAnsi="宋体" w:eastAsia="宋体" w:cs="宋体"/>
                <w:bCs/>
                <w:color w:val="000000" w:themeColor="text1"/>
                <w:kern w:val="0"/>
                <w:sz w:val="20"/>
                <w:szCs w:val="21"/>
                <w:lang w:val="en-US" w:eastAsia="zh-CN"/>
              </w:rPr>
            </w:pPr>
            <w:r>
              <w:rPr>
                <w:rFonts w:hint="eastAsia" w:ascii="宋体" w:hAnsi="宋体" w:eastAsia="宋体" w:cs="宋体"/>
                <w:bCs/>
                <w:color w:val="000000" w:themeColor="text1"/>
                <w:kern w:val="0"/>
                <w:sz w:val="20"/>
                <w:szCs w:val="21"/>
                <w:lang w:val="en-US" w:eastAsia="zh-CN"/>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Strategic Marketing</w:t>
            </w:r>
          </w:p>
          <w:p>
            <w:pPr>
              <w:jc w:val="center"/>
              <w:rPr>
                <w:rFonts w:hint="eastAsia" w:ascii="Times New Roman" w:hAnsi="Times New Roman" w:eastAsia="宋体" w:cs="Times New Roman"/>
                <w:sz w:val="18"/>
                <w:szCs w:val="18"/>
              </w:rPr>
            </w:pPr>
            <w:r>
              <w:rPr>
                <w:rFonts w:hint="eastAsia" w:ascii="宋体" w:hAnsi="宋体" w:eastAsia="宋体" w:cs="宋体"/>
                <w:bCs/>
                <w:color w:val="000000" w:themeColor="text1"/>
                <w:kern w:val="0"/>
                <w:sz w:val="20"/>
                <w:szCs w:val="21"/>
              </w:rPr>
              <w:t>(SM)   战略市场营销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该课程主要内容是关于市场营销的概念以及发展趋势，介绍营销环境、营销战略、营销技巧以及营销过程中涉及的法律问题。</w:t>
            </w:r>
          </w:p>
          <w:p>
            <w:pPr>
              <w:rPr>
                <w:rFonts w:hint="eastAsia" w:ascii="Arial" w:hAnsi="Arial" w:eastAsia="宋体" w:cs="Arial"/>
                <w:color w:val="333333"/>
                <w:kern w:val="0"/>
                <w:sz w:val="18"/>
                <w:szCs w:val="18"/>
                <w:shd w:val="clear" w:color="auto" w:fill="FFFFFF"/>
                <w:lang w:bidi="ar"/>
              </w:rPr>
            </w:pPr>
            <w:r>
              <w:rPr>
                <w:rFonts w:hint="eastAsia" w:ascii="宋体" w:hAnsi="宋体" w:eastAsia="宋体" w:cs="宋体"/>
                <w:color w:val="000000" w:themeColor="text1"/>
                <w:kern w:val="0"/>
                <w:sz w:val="18"/>
                <w:szCs w:val="18"/>
              </w:rPr>
              <w:t>通过本课程的学习使学生们理解营销活动的必要性，更加全面地掌握市场营销理论知识，培养学生的营销能力，使其在未来实践工作运用所学知识解决遇到的营销难题。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eastAsia" w:ascii="宋体" w:hAnsi="宋体" w:eastAsia="宋体" w:cs="宋体"/>
                <w:bCs/>
                <w:color w:val="000000" w:themeColor="text1"/>
                <w:kern w:val="0"/>
                <w:sz w:val="20"/>
                <w:szCs w:val="21"/>
                <w:lang w:eastAsia="zh-CN"/>
              </w:rPr>
            </w:pPr>
            <w:r>
              <w:rPr>
                <w:rFonts w:hint="eastAsia" w:ascii="宋体" w:hAnsi="宋体" w:eastAsia="宋体" w:cs="宋体"/>
                <w:bCs/>
                <w:color w:val="000000" w:themeColor="text1"/>
                <w:kern w:val="0"/>
                <w:sz w:val="20"/>
                <w:szCs w:val="21"/>
                <w:lang w:val="en-US" w:eastAsia="zh-CN"/>
              </w:rPr>
              <w:t>6</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 xml:space="preserve">Managing Agile Organisations and People（MAOP） </w:t>
            </w:r>
          </w:p>
          <w:p>
            <w:pPr>
              <w:jc w:val="center"/>
              <w:rPr>
                <w:rFonts w:hint="eastAsia" w:ascii="Times New Roman" w:hAnsi="Times New Roman" w:eastAsia="宋体" w:cs="Times New Roman"/>
                <w:sz w:val="18"/>
                <w:szCs w:val="18"/>
              </w:rPr>
            </w:pPr>
            <w:r>
              <w:rPr>
                <w:rFonts w:hint="eastAsia" w:ascii="宋体" w:hAnsi="宋体" w:eastAsia="宋体" w:cs="宋体"/>
                <w:bCs/>
                <w:color w:val="000000" w:themeColor="text1"/>
                <w:kern w:val="0"/>
                <w:sz w:val="20"/>
                <w:szCs w:val="21"/>
              </w:rPr>
              <w:t>敏捷组织和人员管理</w:t>
            </w:r>
          </w:p>
        </w:tc>
        <w:tc>
          <w:tcPr>
            <w:tcW w:w="5803" w:type="dxa"/>
            <w:vAlign w:val="center"/>
          </w:tcPr>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该课程主要内容是学习组织性质的变化，了解现代管理实践与原则，熟悉员工绩效环节和管理者的个人发展。</w:t>
            </w:r>
          </w:p>
          <w:p>
            <w:pPr>
              <w:wordWrap w:val="0"/>
              <w:spacing w:line="320" w:lineRule="atLeast"/>
              <w:rPr>
                <w:rFonts w:hint="eastAsia" w:ascii="Arial" w:hAnsi="Arial" w:eastAsia="宋体" w:cs="Arial"/>
                <w:color w:val="333333"/>
                <w:kern w:val="0"/>
                <w:sz w:val="18"/>
                <w:szCs w:val="18"/>
                <w:shd w:val="clear" w:color="auto" w:fill="FFFFFF"/>
                <w:lang w:bidi="ar"/>
              </w:rPr>
            </w:pPr>
            <w:r>
              <w:rPr>
                <w:rFonts w:hint="eastAsia" w:ascii="宋体" w:hAnsi="宋体" w:eastAsia="宋体" w:cs="宋体"/>
                <w:color w:val="000000" w:themeColor="text1"/>
                <w:kern w:val="0"/>
                <w:sz w:val="18"/>
                <w:szCs w:val="18"/>
              </w:rPr>
              <w:t>通过本课程的学习使学生们具备分析组织内外部环境的能力，嫩够提出支持采取具体战略的合理论据；具备分析、判断、商业意识能力，了解个人职责、熟悉人员管理，能够反思并制定合适的个人发展规划。</w:t>
            </w:r>
          </w:p>
        </w:tc>
      </w:tr>
    </w:tbl>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7. 实践性教学环节设置及进程安排表（共计11学分，占总学时</w:t>
      </w:r>
      <w:r>
        <w:rPr>
          <w:rFonts w:hint="eastAsia" w:ascii="仿宋_GB2312" w:hAnsi="Times New Roman" w:eastAsia="仿宋_GB2312" w:cs="Times New Roman"/>
          <w:b/>
          <w:sz w:val="24"/>
          <w:szCs w:val="24"/>
          <w:lang w:val="en-US" w:eastAsia="zh-CN"/>
        </w:rPr>
        <w:t>26.43</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98"/>
        <w:gridCol w:w="900"/>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98"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00"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jc w:val="center"/>
              <w:rPr>
                <w:rFonts w:ascii="宋体" w:hAnsi="宋体" w:cs="宋体"/>
                <w:color w:val="000000"/>
                <w:sz w:val="20"/>
                <w:szCs w:val="20"/>
              </w:rPr>
            </w:pPr>
            <w:r>
              <w:rPr>
                <w:rFonts w:hint="eastAsia"/>
                <w:color w:val="000000"/>
                <w:sz w:val="20"/>
                <w:szCs w:val="20"/>
              </w:rPr>
              <w:t>GRD 901</w:t>
            </w:r>
          </w:p>
          <w:p>
            <w:pPr>
              <w:jc w:val="center"/>
              <w:rPr>
                <w:rFonts w:ascii="宋体" w:hAnsi="宋体" w:cs="宋体"/>
                <w:color w:val="000000" w:themeColor="text1"/>
                <w:kern w:val="0"/>
                <w:sz w:val="20"/>
                <w:szCs w:val="20"/>
                <w:lang w:bidi="ar"/>
              </w:rPr>
            </w:pP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sz w:val="18"/>
                <w:szCs w:val="18"/>
              </w:rPr>
              <w:t>实习</w:t>
            </w:r>
          </w:p>
        </w:tc>
        <w:tc>
          <w:tcPr>
            <w:tcW w:w="709" w:type="dxa"/>
            <w:vAlign w:val="center"/>
          </w:tcPr>
          <w:p>
            <w:pPr>
              <w:jc w:val="center"/>
              <w:rPr>
                <w:rFonts w:ascii="宋体" w:hAnsi="宋体" w:cs="宋体"/>
                <w:color w:val="000000" w:themeColor="text1"/>
                <w:kern w:val="0"/>
                <w:sz w:val="18"/>
                <w:szCs w:val="18"/>
                <w:lang w:bidi="ar"/>
              </w:rPr>
            </w:pPr>
            <w:r>
              <w:rPr>
                <w:rFonts w:hint="eastAsia"/>
                <w:color w:val="000000"/>
                <w:sz w:val="18"/>
                <w:szCs w:val="18"/>
              </w:rPr>
              <w:t>720</w:t>
            </w:r>
          </w:p>
        </w:tc>
        <w:tc>
          <w:tcPr>
            <w:tcW w:w="567" w:type="dxa"/>
            <w:vAlign w:val="center"/>
          </w:tcPr>
          <w:p>
            <w:pPr>
              <w:jc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 xml:space="preserve"> 0</w:t>
            </w:r>
          </w:p>
        </w:tc>
        <w:tc>
          <w:tcPr>
            <w:tcW w:w="79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720</w:t>
            </w:r>
          </w:p>
        </w:tc>
        <w:tc>
          <w:tcPr>
            <w:tcW w:w="708" w:type="dxa"/>
            <w:vAlign w:val="center"/>
          </w:tcPr>
          <w:p>
            <w:pPr>
              <w:jc w:val="center"/>
              <w:rPr>
                <w:rFonts w:ascii="宋体" w:hAnsi="宋体" w:cs="宋体"/>
                <w:color w:val="000000" w:themeColor="text1"/>
                <w:kern w:val="0"/>
                <w:sz w:val="20"/>
                <w:szCs w:val="20"/>
                <w:lang w:bidi="ar"/>
              </w:rPr>
            </w:pPr>
            <w:r>
              <w:rPr>
                <w:rFonts w:hint="eastAsia"/>
                <w:sz w:val="18"/>
                <w:szCs w:val="18"/>
              </w:rPr>
              <w:t>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851" w:type="dxa"/>
            <w:vAlign w:val="center"/>
          </w:tcPr>
          <w:p>
            <w:pPr>
              <w:spacing w:line="240" w:lineRule="exact"/>
              <w:jc w:val="center"/>
              <w:rPr>
                <w:rFonts w:ascii="宋体" w:hAnsi="宋体"/>
                <w:color w:val="000000" w:themeColor="text1"/>
                <w:sz w:val="20"/>
                <w:szCs w:val="20"/>
              </w:rPr>
            </w:pPr>
            <w:r>
              <w:rPr>
                <w:rFonts w:hint="eastAsia"/>
                <w:sz w:val="18"/>
                <w:szCs w:val="18"/>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jc w:val="center"/>
              <w:rPr>
                <w:rFonts w:ascii="宋体" w:hAnsi="宋体" w:cs="宋体"/>
                <w:color w:val="000000"/>
                <w:sz w:val="20"/>
                <w:szCs w:val="20"/>
              </w:rPr>
            </w:pPr>
            <w:r>
              <w:rPr>
                <w:rFonts w:hint="eastAsia"/>
                <w:color w:val="000000"/>
                <w:sz w:val="20"/>
                <w:szCs w:val="20"/>
              </w:rPr>
              <w:t>GRD 902</w:t>
            </w:r>
          </w:p>
          <w:p>
            <w:pPr>
              <w:jc w:val="center"/>
              <w:rPr>
                <w:rFonts w:ascii="宋体" w:hAnsi="宋体" w:cs="宋体"/>
                <w:color w:val="000000" w:themeColor="text1"/>
                <w:kern w:val="0"/>
                <w:sz w:val="20"/>
                <w:szCs w:val="20"/>
                <w:lang w:bidi="ar"/>
              </w:rPr>
            </w:pPr>
          </w:p>
        </w:tc>
        <w:tc>
          <w:tcPr>
            <w:tcW w:w="2135" w:type="dxa"/>
            <w:vAlign w:val="center"/>
          </w:tcPr>
          <w:p>
            <w:pPr>
              <w:jc w:val="center"/>
              <w:rPr>
                <w:rFonts w:asciiTheme="minorEastAsia" w:hAnsiTheme="minorEastAsia" w:cstheme="minorEastAsia"/>
                <w:color w:val="000000" w:themeColor="text1"/>
                <w:kern w:val="0"/>
                <w:sz w:val="18"/>
                <w:szCs w:val="18"/>
                <w:lang w:bidi="ar"/>
              </w:rPr>
            </w:pPr>
            <w:r>
              <w:rPr>
                <w:rFonts w:hint="eastAsia"/>
                <w:sz w:val="18"/>
                <w:szCs w:val="18"/>
              </w:rPr>
              <w:t>实习报告</w:t>
            </w:r>
          </w:p>
        </w:tc>
        <w:tc>
          <w:tcPr>
            <w:tcW w:w="709" w:type="dxa"/>
            <w:vAlign w:val="center"/>
          </w:tcPr>
          <w:p>
            <w:pPr>
              <w:jc w:val="center"/>
              <w:rPr>
                <w:rFonts w:ascii="宋体" w:hAnsi="宋体" w:cs="宋体"/>
                <w:color w:val="000000" w:themeColor="text1"/>
                <w:kern w:val="0"/>
                <w:sz w:val="18"/>
                <w:szCs w:val="18"/>
                <w:lang w:bidi="ar"/>
              </w:rPr>
            </w:pPr>
            <w:r>
              <w:rPr>
                <w:rFonts w:hint="eastAsia"/>
                <w:color w:val="000000"/>
                <w:sz w:val="18"/>
                <w:szCs w:val="18"/>
              </w:rPr>
              <w:t>168</w:t>
            </w:r>
          </w:p>
        </w:tc>
        <w:tc>
          <w:tcPr>
            <w:tcW w:w="567" w:type="dxa"/>
            <w:vAlign w:val="center"/>
          </w:tcPr>
          <w:p>
            <w:pPr>
              <w:jc w:val="center"/>
              <w:rPr>
                <w:rFonts w:ascii="宋体" w:hAnsi="宋体" w:cs="宋体"/>
                <w:color w:val="000000" w:themeColor="text1"/>
                <w:kern w:val="0"/>
                <w:sz w:val="18"/>
                <w:szCs w:val="18"/>
                <w:lang w:bidi="ar"/>
              </w:rPr>
            </w:pPr>
            <w:r>
              <w:rPr>
                <w:rFonts w:hint="eastAsia" w:ascii="宋体" w:hAnsi="宋体" w:cs="宋体"/>
                <w:color w:val="000000" w:themeColor="text1"/>
                <w:kern w:val="0"/>
                <w:sz w:val="18"/>
                <w:szCs w:val="18"/>
                <w:lang w:bidi="ar"/>
              </w:rPr>
              <w:t>0</w:t>
            </w:r>
          </w:p>
        </w:tc>
        <w:tc>
          <w:tcPr>
            <w:tcW w:w="798" w:type="dxa"/>
            <w:vAlign w:val="center"/>
          </w:tcPr>
          <w:p>
            <w:pPr>
              <w:jc w:val="center"/>
              <w:rPr>
                <w:rFonts w:ascii="宋体" w:hAnsi="宋体"/>
                <w:color w:val="000000" w:themeColor="text1"/>
                <w:sz w:val="18"/>
                <w:szCs w:val="18"/>
              </w:rPr>
            </w:pPr>
            <w:r>
              <w:rPr>
                <w:rFonts w:hint="eastAsia"/>
                <w:color w:val="000000"/>
                <w:sz w:val="18"/>
                <w:szCs w:val="18"/>
              </w:rPr>
              <w:t>168</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cs="宋体"/>
                <w:color w:val="000000" w:themeColor="text1"/>
                <w:kern w:val="0"/>
                <w:sz w:val="20"/>
                <w:szCs w:val="20"/>
                <w:lang w:bidi="ar"/>
              </w:rPr>
            </w:pPr>
            <w:r>
              <w:rPr>
                <w:rFonts w:hint="eastAsia"/>
                <w:sz w:val="18"/>
                <w:szCs w:val="18"/>
              </w:rPr>
              <w:t>6</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851" w:type="dxa"/>
            <w:vAlign w:val="center"/>
          </w:tcPr>
          <w:p>
            <w:pPr>
              <w:spacing w:line="240" w:lineRule="exact"/>
              <w:jc w:val="center"/>
              <w:rPr>
                <w:rFonts w:ascii="宋体" w:hAnsi="宋体"/>
                <w:color w:val="000000" w:themeColor="text1"/>
                <w:sz w:val="20"/>
                <w:szCs w:val="20"/>
              </w:rPr>
            </w:pPr>
            <w:r>
              <w:rPr>
                <w:rFonts w:hint="eastAsia"/>
                <w:sz w:val="18"/>
                <w:szCs w:val="18"/>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p>
        </w:tc>
        <w:tc>
          <w:tcPr>
            <w:tcW w:w="3694" w:type="dxa"/>
            <w:gridSpan w:val="2"/>
            <w:vAlign w:val="center"/>
          </w:tcPr>
          <w:p>
            <w:pPr>
              <w:jc w:val="center"/>
              <w:rPr>
                <w:sz w:val="18"/>
                <w:szCs w:val="18"/>
              </w:rPr>
            </w:pPr>
            <w:r>
              <w:rPr>
                <w:rFonts w:hint="eastAsia"/>
                <w:sz w:val="18"/>
                <w:szCs w:val="18"/>
              </w:rPr>
              <w:t>合计</w:t>
            </w:r>
          </w:p>
        </w:tc>
        <w:tc>
          <w:tcPr>
            <w:tcW w:w="709" w:type="dxa"/>
            <w:vAlign w:val="center"/>
          </w:tcPr>
          <w:p>
            <w:pPr>
              <w:jc w:val="center"/>
              <w:rPr>
                <w:color w:val="000000"/>
                <w:sz w:val="18"/>
                <w:szCs w:val="18"/>
              </w:rPr>
            </w:pPr>
            <w:r>
              <w:rPr>
                <w:rFonts w:hint="eastAsia"/>
                <w:color w:val="000000"/>
                <w:sz w:val="18"/>
                <w:szCs w:val="18"/>
              </w:rPr>
              <w:t>888</w:t>
            </w:r>
          </w:p>
        </w:tc>
        <w:tc>
          <w:tcPr>
            <w:tcW w:w="567" w:type="dxa"/>
            <w:vAlign w:val="center"/>
          </w:tcPr>
          <w:p>
            <w:pPr>
              <w:jc w:val="center"/>
              <w:rPr>
                <w:rFonts w:ascii="宋体" w:hAnsi="宋体" w:cs="宋体"/>
                <w:color w:val="000000" w:themeColor="text1"/>
                <w:kern w:val="0"/>
                <w:sz w:val="18"/>
                <w:szCs w:val="18"/>
                <w:lang w:bidi="ar"/>
              </w:rPr>
            </w:pPr>
          </w:p>
        </w:tc>
        <w:tc>
          <w:tcPr>
            <w:tcW w:w="1698" w:type="dxa"/>
            <w:gridSpan w:val="2"/>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888</w:t>
            </w:r>
          </w:p>
        </w:tc>
        <w:tc>
          <w:tcPr>
            <w:tcW w:w="708" w:type="dxa"/>
            <w:vAlign w:val="center"/>
          </w:tcPr>
          <w:p>
            <w:pPr>
              <w:jc w:val="center"/>
              <w:rPr>
                <w:sz w:val="18"/>
                <w:szCs w:val="18"/>
              </w:rPr>
            </w:pPr>
            <w:r>
              <w:rPr>
                <w:rFonts w:hint="eastAsia"/>
                <w:sz w:val="18"/>
                <w:szCs w:val="18"/>
              </w:rPr>
              <w:t>11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pacing w:line="240" w:lineRule="exact"/>
              <w:jc w:val="center"/>
              <w:rPr>
                <w:sz w:val="18"/>
                <w:szCs w:val="18"/>
              </w:rPr>
            </w:pP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bl>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8.实践性教学环节内容及要求</w:t>
      </w:r>
    </w:p>
    <w:tbl>
      <w:tblPr>
        <w:tblStyle w:val="1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hint="eastAsia" w:ascii="Times New Roman" w:hAnsi="Times New Roman" w:eastAsia="宋体" w:cs="Times New Roman"/>
                <w:sz w:val="18"/>
                <w:szCs w:val="18"/>
              </w:rPr>
              <w:t>实习</w:t>
            </w:r>
          </w:p>
        </w:tc>
        <w:tc>
          <w:tcPr>
            <w:tcW w:w="5803" w:type="dxa"/>
            <w:vAlign w:val="center"/>
          </w:tcPr>
          <w:p>
            <w:pPr>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实习的内容为：掌握物流的装卸搬运、流通加工、包装、仓储管理、物流配送的技术与技能，并能够在物流公司、快递公司、外贸公司，医药公司、服装公司等单位胜任物流的工作，实习是检验3年学习的成果，将理论转化为实践，提高学生实际操作动手能力，提高学生解决问题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bCs/>
                <w:color w:val="000000" w:themeColor="text1"/>
                <w:kern w:val="0"/>
                <w:sz w:val="20"/>
                <w:szCs w:val="21"/>
              </w:rPr>
            </w:pPr>
            <w:r>
              <w:rPr>
                <w:rFonts w:hint="eastAsia" w:ascii="Times New Roman" w:hAnsi="Times New Roman" w:eastAsia="宋体" w:cs="Times New Roman"/>
                <w:sz w:val="18"/>
                <w:szCs w:val="18"/>
              </w:rPr>
              <w:t>实习报告</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实习报告是学生毕业的一个要求，实习报告是检验学生的实习成果，检验学生所掌握知识的程度，检验学生语言表达能力和写作能力。</w:t>
            </w:r>
          </w:p>
        </w:tc>
      </w:tr>
    </w:tbl>
    <w:p>
      <w:pPr>
        <w:spacing w:line="360" w:lineRule="auto"/>
        <w:ind w:firstLine="480" w:firstLineChars="200"/>
        <w:rPr>
          <w:rFonts w:ascii="仿宋_GB2312" w:hAnsi="Times New Roman" w:eastAsia="仿宋_GB2312" w:cs="Times New Roman"/>
          <w:bCs/>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 xml:space="preserve">七、教学进程总体安排 </w:t>
      </w:r>
    </w:p>
    <w:p>
      <w:pPr>
        <w:spacing w:line="360" w:lineRule="auto"/>
        <w:ind w:firstLine="480"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Cs/>
          <w:color w:val="FF0000"/>
          <w:sz w:val="24"/>
          <w:szCs w:val="24"/>
        </w:rPr>
        <w:t xml:space="preserve"> </w:t>
      </w:r>
      <w:r>
        <w:rPr>
          <w:rFonts w:hint="eastAsia" w:ascii="仿宋_GB2312" w:hAnsi="Times New Roman" w:eastAsia="仿宋_GB2312" w:cs="Times New Roman"/>
          <w:b/>
          <w:sz w:val="24"/>
          <w:szCs w:val="24"/>
        </w:rPr>
        <w:t>（一）教学进程安排表</w:t>
      </w:r>
    </w:p>
    <w:p>
      <w:pPr>
        <w:spacing w:line="360" w:lineRule="auto"/>
        <w:ind w:firstLine="480" w:firstLineChars="200"/>
        <w:jc w:val="center"/>
        <w:rPr>
          <w:rFonts w:ascii="仿宋_GB2312" w:hAnsi="Times New Roman" w:eastAsia="仿宋_GB2312" w:cs="Times New Roman"/>
          <w:b/>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720" w:num="1"/>
          <w:titlePg/>
          <w:docGrid w:type="linesAndChars" w:linePitch="312" w:charSpace="0"/>
        </w:sectPr>
      </w:pPr>
    </w:p>
    <w:tbl>
      <w:tblPr>
        <w:tblStyle w:val="26"/>
        <w:tblW w:w="155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23"/>
        <w:gridCol w:w="528"/>
        <w:gridCol w:w="560"/>
        <w:gridCol w:w="2505"/>
        <w:gridCol w:w="1644"/>
        <w:gridCol w:w="425"/>
        <w:gridCol w:w="567"/>
        <w:gridCol w:w="567"/>
        <w:gridCol w:w="992"/>
        <w:gridCol w:w="851"/>
        <w:gridCol w:w="992"/>
        <w:gridCol w:w="567"/>
        <w:gridCol w:w="850"/>
        <w:gridCol w:w="851"/>
        <w:gridCol w:w="850"/>
        <w:gridCol w:w="851"/>
        <w:gridCol w:w="709"/>
        <w:gridCol w:w="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1" w:hRule="atLeast"/>
          <w:jc w:val="center"/>
        </w:trPr>
        <w:tc>
          <w:tcPr>
            <w:tcW w:w="1051"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b/>
                <w:sz w:val="18"/>
                <w:szCs w:val="18"/>
              </w:rPr>
            </w:pPr>
            <w:r>
              <w:rPr>
                <w:rFonts w:hint="eastAsia"/>
                <w:b/>
                <w:sz w:val="18"/>
                <w:szCs w:val="18"/>
              </w:rPr>
              <w:t>课程类别</w:t>
            </w:r>
          </w:p>
        </w:tc>
        <w:tc>
          <w:tcPr>
            <w:tcW w:w="560"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序号</w:t>
            </w:r>
          </w:p>
        </w:tc>
        <w:tc>
          <w:tcPr>
            <w:tcW w:w="2505"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课程名称</w:t>
            </w:r>
          </w:p>
        </w:tc>
        <w:tc>
          <w:tcPr>
            <w:tcW w:w="1644"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代码</w:t>
            </w:r>
          </w:p>
        </w:tc>
        <w:tc>
          <w:tcPr>
            <w:tcW w:w="425" w:type="dxa"/>
            <w:vMerge w:val="restart"/>
            <w:tcBorders>
              <w:top w:val="single" w:color="auto" w:sz="12" w:space="0"/>
              <w:left w:val="single" w:color="auto" w:sz="6" w:space="0"/>
              <w:right w:val="single" w:color="auto" w:sz="6" w:space="0"/>
            </w:tcBorders>
            <w:vAlign w:val="center"/>
          </w:tcPr>
          <w:p>
            <w:pPr>
              <w:jc w:val="center"/>
              <w:rPr>
                <w:b/>
                <w:sz w:val="18"/>
                <w:szCs w:val="18"/>
              </w:rPr>
            </w:pPr>
            <w:r>
              <w:rPr>
                <w:b/>
                <w:sz w:val="18"/>
                <w:szCs w:val="18"/>
              </w:rPr>
              <w:t>核心课程</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学分</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理论</w:t>
            </w:r>
          </w:p>
          <w:p>
            <w:pPr>
              <w:jc w:val="center"/>
              <w:rPr>
                <w:b/>
                <w:sz w:val="18"/>
                <w:szCs w:val="18"/>
              </w:rPr>
            </w:pPr>
            <w:r>
              <w:rPr>
                <w:b/>
                <w:sz w:val="18"/>
                <w:szCs w:val="18"/>
              </w:rPr>
              <w:t>教学</w:t>
            </w:r>
          </w:p>
          <w:p>
            <w:pPr>
              <w:jc w:val="center"/>
              <w:rPr>
                <w:b/>
                <w:sz w:val="18"/>
                <w:szCs w:val="18"/>
              </w:rPr>
            </w:pPr>
            <w:r>
              <w:rPr>
                <w:b/>
                <w:sz w:val="18"/>
                <w:szCs w:val="18"/>
              </w:rPr>
              <w:t>（学时）</w:t>
            </w:r>
          </w:p>
        </w:tc>
        <w:tc>
          <w:tcPr>
            <w:tcW w:w="851"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课内</w:t>
            </w:r>
          </w:p>
          <w:p>
            <w:pPr>
              <w:jc w:val="center"/>
              <w:rPr>
                <w:b/>
                <w:sz w:val="18"/>
                <w:szCs w:val="18"/>
              </w:rPr>
            </w:pPr>
            <w:r>
              <w:rPr>
                <w:b/>
                <w:sz w:val="18"/>
                <w:szCs w:val="18"/>
              </w:rPr>
              <w:t>实训</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4" w:space="0"/>
            </w:tcBorders>
            <w:vAlign w:val="center"/>
          </w:tcPr>
          <w:p>
            <w:pPr>
              <w:jc w:val="center"/>
              <w:rPr>
                <w:b/>
                <w:sz w:val="18"/>
                <w:szCs w:val="18"/>
              </w:rPr>
            </w:pPr>
            <w:r>
              <w:rPr>
                <w:b/>
                <w:sz w:val="18"/>
                <w:szCs w:val="18"/>
              </w:rPr>
              <w:t>集中</w:t>
            </w:r>
          </w:p>
          <w:p>
            <w:pPr>
              <w:jc w:val="center"/>
              <w:rPr>
                <w:b/>
                <w:sz w:val="18"/>
                <w:szCs w:val="18"/>
              </w:rPr>
            </w:pPr>
            <w:r>
              <w:rPr>
                <w:b/>
                <w:sz w:val="18"/>
                <w:szCs w:val="18"/>
              </w:rPr>
              <w:t>实训</w:t>
            </w:r>
          </w:p>
          <w:p>
            <w:pPr>
              <w:jc w:val="center"/>
              <w:rPr>
                <w:b/>
                <w:sz w:val="18"/>
                <w:szCs w:val="18"/>
              </w:rPr>
            </w:pPr>
            <w:r>
              <w:rPr>
                <w:b/>
                <w:sz w:val="18"/>
                <w:szCs w:val="18"/>
              </w:rPr>
              <w:t>（学时/周）</w:t>
            </w:r>
          </w:p>
        </w:tc>
        <w:tc>
          <w:tcPr>
            <w:tcW w:w="567" w:type="dxa"/>
            <w:vMerge w:val="restart"/>
            <w:tcBorders>
              <w:top w:val="single" w:color="auto" w:sz="12" w:space="0"/>
              <w:left w:val="single" w:color="auto" w:sz="4" w:space="0"/>
              <w:bottom w:val="single" w:color="auto" w:sz="6" w:space="0"/>
              <w:right w:val="single" w:color="auto" w:sz="6" w:space="0"/>
            </w:tcBorders>
            <w:vAlign w:val="center"/>
          </w:tcPr>
          <w:p>
            <w:pPr>
              <w:jc w:val="center"/>
              <w:rPr>
                <w:b/>
                <w:sz w:val="18"/>
                <w:szCs w:val="18"/>
              </w:rPr>
            </w:pPr>
            <w:r>
              <w:rPr>
                <w:b/>
                <w:sz w:val="18"/>
                <w:szCs w:val="18"/>
              </w:rPr>
              <w:t>考试</w:t>
            </w:r>
          </w:p>
          <w:p>
            <w:pPr>
              <w:jc w:val="center"/>
              <w:rPr>
                <w:b/>
                <w:sz w:val="18"/>
                <w:szCs w:val="18"/>
              </w:rPr>
            </w:pPr>
            <w:r>
              <w:rPr>
                <w:b/>
                <w:sz w:val="18"/>
                <w:szCs w:val="18"/>
              </w:rPr>
              <w:t>（查）</w:t>
            </w:r>
          </w:p>
        </w:tc>
        <w:tc>
          <w:tcPr>
            <w:tcW w:w="4876" w:type="dxa"/>
            <w:gridSpan w:val="6"/>
            <w:tcBorders>
              <w:top w:val="single" w:color="auto" w:sz="12" w:space="0"/>
              <w:left w:val="single" w:color="auto" w:sz="6" w:space="0"/>
              <w:bottom w:val="single" w:color="auto" w:sz="6" w:space="0"/>
              <w:right w:val="single" w:color="auto" w:sz="12" w:space="0"/>
            </w:tcBorders>
            <w:vAlign w:val="center"/>
          </w:tcPr>
          <w:p>
            <w:pPr>
              <w:jc w:val="center"/>
              <w:rPr>
                <w:b/>
                <w:sz w:val="18"/>
                <w:szCs w:val="18"/>
              </w:rPr>
            </w:pPr>
            <w:r>
              <w:rPr>
                <w:b/>
                <w:sz w:val="18"/>
                <w:szCs w:val="18"/>
              </w:rPr>
              <w:t>各学期教学周数及周学时分配（周学时*周数）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1" w:hRule="exact"/>
          <w:jc w:val="center"/>
        </w:trPr>
        <w:tc>
          <w:tcPr>
            <w:tcW w:w="1051"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60"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4"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一</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二</w:t>
            </w:r>
          </w:p>
        </w:tc>
        <w:tc>
          <w:tcPr>
            <w:tcW w:w="1474" w:type="dxa"/>
            <w:gridSpan w:val="2"/>
            <w:tcBorders>
              <w:top w:val="single" w:color="auto" w:sz="6" w:space="0"/>
              <w:left w:val="single" w:color="auto" w:sz="6" w:space="0"/>
              <w:bottom w:val="single" w:color="auto" w:sz="6" w:space="0"/>
              <w:right w:val="single" w:color="auto" w:sz="12" w:space="0"/>
            </w:tcBorders>
            <w:vAlign w:val="center"/>
          </w:tcPr>
          <w:p>
            <w:pPr>
              <w:jc w:val="center"/>
              <w:rPr>
                <w:b/>
                <w:sz w:val="18"/>
                <w:szCs w:val="18"/>
              </w:rPr>
            </w:pPr>
            <w:r>
              <w:rPr>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45" w:hRule="atLeast"/>
          <w:jc w:val="center"/>
        </w:trPr>
        <w:tc>
          <w:tcPr>
            <w:tcW w:w="1051"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60"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4"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bottom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19</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65" w:type="dxa"/>
            <w:tcBorders>
              <w:top w:val="single" w:color="auto" w:sz="6" w:space="0"/>
              <w:left w:val="single" w:color="auto" w:sz="6" w:space="0"/>
              <w:bottom w:val="single" w:color="auto" w:sz="6" w:space="0"/>
              <w:right w:val="single" w:color="auto" w:sz="12" w:space="0"/>
            </w:tcBorders>
            <w:vAlign w:val="center"/>
          </w:tcPr>
          <w:p>
            <w:pPr>
              <w:jc w:val="center"/>
              <w:rPr>
                <w:b/>
                <w:szCs w:val="21"/>
              </w:rPr>
            </w:pPr>
            <w:r>
              <w:rPr>
                <w:b/>
                <w:szCs w:val="21"/>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94" w:hRule="exact"/>
          <w:jc w:val="center"/>
        </w:trPr>
        <w:tc>
          <w:tcPr>
            <w:tcW w:w="523" w:type="dxa"/>
            <w:vMerge w:val="restart"/>
            <w:tcBorders>
              <w:top w:val="single" w:color="auto" w:sz="6" w:space="0"/>
              <w:left w:val="single" w:color="auto" w:sz="12" w:space="0"/>
              <w:right w:val="single" w:color="auto" w:sz="6" w:space="0"/>
            </w:tcBorders>
            <w:textDirection w:val="tbRlV"/>
            <w:vAlign w:val="center"/>
          </w:tcPr>
          <w:p>
            <w:pPr>
              <w:jc w:val="center"/>
              <w:rPr>
                <w:rFonts w:ascii="宋体" w:hAnsi="宋体"/>
                <w:sz w:val="20"/>
                <w:szCs w:val="20"/>
              </w:rPr>
            </w:pPr>
            <w:r>
              <w:rPr>
                <w:rFonts w:hint="eastAsia" w:ascii="宋体" w:hAnsi="宋体" w:eastAsia="宋体" w:cs="宋体"/>
                <w:color w:val="000000"/>
                <w:kern w:val="0"/>
                <w:sz w:val="22"/>
                <w:lang w:bidi="ar"/>
              </w:rPr>
              <w:t>公共基础课程</w:t>
            </w:r>
          </w:p>
        </w:tc>
        <w:tc>
          <w:tcPr>
            <w:tcW w:w="528" w:type="dxa"/>
            <w:vMerge w:val="restart"/>
            <w:tcBorders>
              <w:top w:val="single" w:color="auto" w:sz="6" w:space="0"/>
              <w:left w:val="single" w:color="auto" w:sz="6" w:space="0"/>
              <w:right w:val="single" w:color="auto" w:sz="6" w:space="0"/>
            </w:tcBorders>
            <w:textDirection w:val="tbRlV"/>
            <w:vAlign w:val="center"/>
          </w:tcPr>
          <w:p>
            <w:pPr>
              <w:spacing w:line="360" w:lineRule="auto"/>
              <w:ind w:left="113" w:right="113"/>
              <w:jc w:val="center"/>
              <w:rPr>
                <w:rFonts w:ascii="宋体" w:hAnsi="宋体"/>
                <w:sz w:val="20"/>
                <w:szCs w:val="20"/>
              </w:rPr>
            </w:pPr>
            <w:r>
              <w:rPr>
                <w:rFonts w:ascii="宋体" w:hAnsi="宋体"/>
                <w:sz w:val="20"/>
                <w:szCs w:val="20"/>
              </w:rPr>
              <w:t>必</w:t>
            </w:r>
            <w:r>
              <w:rPr>
                <w:rFonts w:hint="eastAsia" w:ascii="宋体" w:hAnsi="宋体"/>
                <w:sz w:val="20"/>
                <w:szCs w:val="20"/>
              </w:rPr>
              <w:t xml:space="preserve">          </w:t>
            </w:r>
            <w:r>
              <w:rPr>
                <w:rFonts w:ascii="宋体" w:hAnsi="宋体"/>
                <w:sz w:val="20"/>
                <w:szCs w:val="20"/>
              </w:rPr>
              <w:t>修</w:t>
            </w:r>
          </w:p>
        </w:tc>
        <w:tc>
          <w:tcPr>
            <w:tcW w:w="5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军事技能</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112</w:t>
            </w:r>
          </w:p>
        </w:tc>
        <w:tc>
          <w:tcPr>
            <w:tcW w:w="425" w:type="dxa"/>
            <w:tcBorders>
              <w:top w:val="single" w:color="auto" w:sz="6" w:space="0"/>
              <w:left w:val="single" w:color="auto" w:sz="6" w:space="0"/>
              <w:bottom w:val="single" w:color="auto" w:sz="6" w:space="0"/>
              <w:right w:val="single" w:color="auto" w:sz="6" w:space="0"/>
            </w:tcBorders>
          </w:tcPr>
          <w:p>
            <w:pPr>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highlight w:val="yellow"/>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&gt;112(14天）</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14"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2</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军事理论课1/2</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113/114</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1*18</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1*18</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94"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3</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美育课程</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22"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4</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大学生心理健康</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106</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2"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5</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职业生涯与规划</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92"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6</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思想道德修养1/2</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105/205</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color w:val="000000" w:themeColor="text1"/>
                <w:sz w:val="22"/>
              </w:rPr>
              <w:t>2*12</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92"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7</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计算机基础1/2</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301/302</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18"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sz w:val="20"/>
                <w:szCs w:val="20"/>
              </w:rPr>
              <w:t>8</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等级英语A/B/C/B级英语</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ENG 141/142/144/134</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20"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9</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大学体育1/2/3</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GRD 201/202/203 </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highlight w:val="yellow"/>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79"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财经应用文写作</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24"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11</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创新创业教育</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9"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12</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毛泽东思想概论1/2</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306/401</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04"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13</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形势与政策1/2</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307/402</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4" w:space="0"/>
              <w:right w:val="single" w:color="auto" w:sz="4" w:space="0"/>
            </w:tcBorders>
            <w:vAlign w:val="center"/>
          </w:tcPr>
          <w:p>
            <w:pP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2*4</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2*4</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55"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14</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培贤英语A</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9*16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14"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15</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培贤英语B</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212</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18</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110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8*16</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14"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r>
              <w:rPr>
                <w:rFonts w:hint="eastAsia" w:ascii="宋体" w:hAnsi="宋体"/>
                <w:sz w:val="20"/>
                <w:szCs w:val="20"/>
              </w:rPr>
              <w:t xml:space="preserve"> </w:t>
            </w: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16</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培贤英语C</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PXE 110</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4*16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14"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17</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培贤英语D</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PXE 214</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4*16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14"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18</w:t>
            </w:r>
          </w:p>
        </w:tc>
        <w:tc>
          <w:tcPr>
            <w:tcW w:w="250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培贤英语E</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PXE 111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38</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60"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sz w:val="20"/>
                <w:szCs w:val="20"/>
              </w:rPr>
            </w:pPr>
          </w:p>
        </w:tc>
        <w:tc>
          <w:tcPr>
            <w:tcW w:w="4149" w:type="dxa"/>
            <w:gridSpan w:val="2"/>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小计：（总学时比例</w:t>
            </w:r>
            <w:r>
              <w:rPr>
                <w:rFonts w:hint="eastAsia" w:ascii="宋体" w:hAnsi="宋体" w:cs="宋体"/>
                <w:kern w:val="0"/>
                <w:sz w:val="20"/>
                <w:szCs w:val="20"/>
                <w:lang w:val="en-US" w:eastAsia="zh-CN" w:bidi="ar"/>
              </w:rPr>
              <w:t>32.50</w:t>
            </w:r>
            <w:r>
              <w:rPr>
                <w:rFonts w:ascii="宋体" w:hAnsi="宋体" w:cs="宋体"/>
                <w:kern w:val="0"/>
                <w:sz w:val="20"/>
                <w:szCs w:val="20"/>
                <w:lang w:bidi="ar"/>
              </w:rPr>
              <w:t>%</w:t>
            </w:r>
            <w:r>
              <w:rPr>
                <w:rFonts w:hint="eastAsia" w:ascii="宋体" w:hAnsi="宋体" w:cs="宋体"/>
                <w:kern w:val="0"/>
                <w:sz w:val="20"/>
                <w:szCs w:val="20"/>
                <w:lang w:bidi="ar"/>
              </w:rPr>
              <w:t>）</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40</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eastAsia="宋体" w:cs="宋体"/>
                <w:szCs w:val="21"/>
              </w:rPr>
              <w:t>1092</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eastAsia="宋体" w:cs="宋体"/>
                <w:szCs w:val="21"/>
              </w:rPr>
              <w:t>426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eastAsia="宋体" w:cs="宋体"/>
                <w:szCs w:val="21"/>
              </w:rPr>
              <w:t>554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112</w:t>
            </w:r>
          </w:p>
          <w:p>
            <w:pPr>
              <w:spacing w:line="360" w:lineRule="auto"/>
              <w:jc w:val="center"/>
              <w:rPr>
                <w:rFonts w:ascii="宋体" w:hAnsi="宋体"/>
                <w:sz w:val="20"/>
                <w:szCs w:val="20"/>
              </w:rPr>
            </w:pPr>
            <w:r>
              <w:rPr>
                <w:rFonts w:hint="eastAsia" w:ascii="宋体" w:hAnsi="宋体" w:eastAsia="宋体" w:cs="宋体"/>
                <w:szCs w:val="21"/>
              </w:rPr>
              <w:t>112</w:t>
            </w: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850"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kern w:val="0"/>
                <w:sz w:val="20"/>
                <w:szCs w:val="20"/>
                <w:lang w:bidi="ar"/>
              </w:rPr>
            </w:pPr>
            <w:r>
              <w:rPr>
                <w:rFonts w:hint="eastAsia" w:ascii="宋体" w:hAnsi="宋体" w:eastAsia="宋体" w:cs="宋体"/>
                <w:szCs w:val="21"/>
              </w:rPr>
              <w:t>442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lang w:bidi="ar"/>
              </w:rPr>
            </w:pPr>
            <w:r>
              <w:rPr>
                <w:rFonts w:hint="eastAsia" w:ascii="宋体" w:hAnsi="宋体" w:eastAsia="宋体" w:cs="宋体"/>
                <w:szCs w:val="21"/>
              </w:rPr>
              <w:t>298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0"/>
                <w:szCs w:val="20"/>
              </w:rPr>
            </w:pPr>
            <w:r>
              <w:rPr>
                <w:rFonts w:hint="eastAsia" w:ascii="宋体" w:hAnsi="宋体" w:eastAsia="宋体" w:cs="宋体"/>
                <w:szCs w:val="21"/>
              </w:rPr>
              <w:t>168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0"/>
                <w:szCs w:val="20"/>
              </w:rPr>
            </w:pPr>
            <w:r>
              <w:rPr>
                <w:rFonts w:hint="eastAsia" w:ascii="宋体" w:hAnsi="宋体" w:eastAsia="宋体" w:cs="宋体"/>
                <w:szCs w:val="21"/>
              </w:rPr>
              <w:t>136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0"/>
                <w:szCs w:val="20"/>
              </w:rPr>
            </w:pPr>
            <w:r>
              <w:rPr>
                <w:rFonts w:hint="eastAsia" w:ascii="宋体" w:hAnsi="宋体" w:eastAsia="宋体" w:cs="宋体"/>
                <w:szCs w:val="21"/>
              </w:rPr>
              <w:t>48</w:t>
            </w: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restart"/>
            <w:tcBorders>
              <w:left w:val="single" w:color="auto" w:sz="6" w:space="0"/>
              <w:right w:val="single" w:color="auto" w:sz="4"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 xml:space="preserve">选         修 （选够   1   分  即  可）                </w:t>
            </w:r>
          </w:p>
        </w:tc>
        <w:tc>
          <w:tcPr>
            <w:tcW w:w="560"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1</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泰语</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101</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3"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2</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越南语</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 </w:t>
            </w:r>
            <w:r>
              <w:rPr>
                <w:rFonts w:ascii="宋体" w:hAnsi="宋体" w:cs="宋体"/>
                <w:color w:val="000000" w:themeColor="text1"/>
                <w:kern w:val="0"/>
                <w:sz w:val="20"/>
                <w:szCs w:val="20"/>
                <w:lang w:bidi="ar"/>
              </w:rPr>
              <w:t>14</w:t>
            </w:r>
            <w:r>
              <w:rPr>
                <w:rFonts w:ascii="宋体" w:hAnsi="宋体" w:cs="宋体"/>
                <w:color w:val="000000" w:themeColor="text1"/>
                <w:kern w:val="0"/>
                <w:sz w:val="20"/>
                <w:szCs w:val="20"/>
                <w:lang w:bidi="ar"/>
              </w:rPr>
              <w:tab/>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3</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营养学</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302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4</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舞蹈</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104</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9</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5</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羽毛球</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105</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6</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商务外交礼仪</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103</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3"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7</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职业道德</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106</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1" w:hRule="exact"/>
          <w:jc w:val="center"/>
        </w:trPr>
        <w:tc>
          <w:tcPr>
            <w:tcW w:w="1051" w:type="dxa"/>
            <w:gridSpan w:val="2"/>
            <w:tcBorders>
              <w:top w:val="single" w:color="auto" w:sz="6" w:space="0"/>
              <w:left w:val="single" w:color="auto" w:sz="12" w:space="0"/>
              <w:bottom w:val="single" w:color="auto" w:sz="6" w:space="0"/>
              <w:right w:val="single" w:color="auto" w:sz="4" w:space="0"/>
            </w:tcBorders>
            <w:vAlign w:val="center"/>
          </w:tcPr>
          <w:p>
            <w:pPr>
              <w:widowControl/>
              <w:jc w:val="left"/>
              <w:rPr>
                <w:rFonts w:ascii="宋体" w:hAnsi="宋体"/>
                <w:sz w:val="20"/>
                <w:szCs w:val="20"/>
              </w:rPr>
            </w:pPr>
          </w:p>
        </w:tc>
        <w:tc>
          <w:tcPr>
            <w:tcW w:w="3065" w:type="dxa"/>
            <w:gridSpan w:val="2"/>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FF0000"/>
                <w:sz w:val="20"/>
                <w:szCs w:val="20"/>
              </w:rPr>
            </w:pPr>
            <w:r>
              <w:rPr>
                <w:rFonts w:hint="eastAsia" w:ascii="宋体" w:hAnsi="宋体"/>
                <w:color w:val="000000" w:themeColor="text1"/>
                <w:sz w:val="20"/>
                <w:szCs w:val="20"/>
              </w:rPr>
              <w:t>小计：（总学时比例0.</w:t>
            </w:r>
            <w:r>
              <w:rPr>
                <w:rFonts w:hint="eastAsia" w:ascii="宋体" w:hAnsi="宋体"/>
                <w:color w:val="000000" w:themeColor="text1"/>
                <w:sz w:val="20"/>
                <w:szCs w:val="20"/>
                <w:lang w:val="en-US" w:eastAsia="zh-CN"/>
              </w:rPr>
              <w:t>48</w:t>
            </w:r>
            <w:r>
              <w:rPr>
                <w:rFonts w:ascii="宋体" w:hAnsi="宋体"/>
                <w:color w:val="000000" w:themeColor="text1"/>
                <w:sz w:val="20"/>
                <w:szCs w:val="20"/>
              </w:rPr>
              <w:t>%</w:t>
            </w:r>
            <w:r>
              <w:rPr>
                <w:rFonts w:hint="eastAsia" w:ascii="宋体" w:hAnsi="宋体"/>
                <w:color w:val="000000" w:themeColor="text1"/>
                <w:sz w:val="20"/>
                <w:szCs w:val="20"/>
              </w:rPr>
              <w:t>）</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widowControl/>
              <w:jc w:val="left"/>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Theme="minorEastAsia"/>
                <w:sz w:val="20"/>
                <w:szCs w:val="20"/>
                <w:lang w:val="en-US" w:eastAsia="zh-CN"/>
              </w:rPr>
            </w:pPr>
            <w:r>
              <w:rPr>
                <w:rFonts w:hint="eastAsia" w:ascii="宋体" w:hAnsi="宋体"/>
                <w:sz w:val="20"/>
                <w:szCs w:val="20"/>
                <w:lang w:val="en-US" w:eastAsia="zh-CN"/>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sz w:val="20"/>
                <w:szCs w:val="20"/>
              </w:rPr>
            </w:pPr>
          </w:p>
        </w:tc>
        <w:tc>
          <w:tcPr>
            <w:tcW w:w="4876" w:type="dxa"/>
            <w:gridSpan w:val="6"/>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sz w:val="20"/>
                <w:szCs w:val="20"/>
              </w:rPr>
            </w:pPr>
            <w:r>
              <w:rPr>
                <w:rFonts w:hint="eastAsia" w:ascii="宋体" w:hAnsi="宋体"/>
                <w:sz w:val="20"/>
                <w:szCs w:val="20"/>
              </w:rPr>
              <w:t>说明：学生在第1—6期选修够1个学分以上即可；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00" w:hRule="atLeast"/>
          <w:jc w:val="center"/>
        </w:trPr>
        <w:tc>
          <w:tcPr>
            <w:tcW w:w="523" w:type="dxa"/>
            <w:vMerge w:val="restart"/>
            <w:tcBorders>
              <w:top w:val="single" w:color="auto" w:sz="6" w:space="0"/>
              <w:left w:val="single" w:color="auto" w:sz="12" w:space="0"/>
              <w:right w:val="single" w:color="auto" w:sz="6" w:space="0"/>
            </w:tcBorders>
            <w:textDirection w:val="tbRlV"/>
            <w:vAlign w:val="center"/>
          </w:tcPr>
          <w:p>
            <w:pPr>
              <w:widowControl/>
              <w:ind w:left="113" w:right="113"/>
              <w:jc w:val="center"/>
              <w:rPr>
                <w:rFonts w:ascii="宋体" w:hAnsi="宋体"/>
                <w:sz w:val="20"/>
                <w:szCs w:val="20"/>
              </w:rPr>
            </w:pPr>
            <w:r>
              <w:rPr>
                <w:rFonts w:hint="eastAsia" w:ascii="宋体" w:hAnsi="宋体"/>
                <w:sz w:val="20"/>
                <w:szCs w:val="20"/>
              </w:rPr>
              <w:t>专  业  技  能  课   程</w:t>
            </w:r>
          </w:p>
        </w:tc>
        <w:tc>
          <w:tcPr>
            <w:tcW w:w="528" w:type="dxa"/>
            <w:vMerge w:val="restart"/>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r>
              <w:rPr>
                <w:rFonts w:hint="eastAsia" w:ascii="宋体" w:hAnsi="宋体"/>
                <w:b/>
                <w:sz w:val="20"/>
                <w:szCs w:val="20"/>
              </w:rPr>
              <w:t xml:space="preserve">      </w:t>
            </w:r>
            <w:r>
              <w:rPr>
                <w:rFonts w:ascii="宋体" w:hAnsi="宋体"/>
                <w:sz w:val="20"/>
                <w:szCs w:val="20"/>
              </w:rPr>
              <w:t>专</w:t>
            </w:r>
            <w:r>
              <w:rPr>
                <w:rFonts w:hint="eastAsia" w:ascii="宋体" w:hAnsi="宋体"/>
                <w:sz w:val="20"/>
                <w:szCs w:val="20"/>
              </w:rPr>
              <w:t xml:space="preserve">    </w:t>
            </w:r>
            <w:r>
              <w:rPr>
                <w:rFonts w:ascii="宋体" w:hAnsi="宋体"/>
                <w:sz w:val="20"/>
                <w:szCs w:val="20"/>
              </w:rPr>
              <w:t>业</w:t>
            </w:r>
            <w:r>
              <w:rPr>
                <w:rFonts w:hint="eastAsia" w:ascii="宋体" w:hAnsi="宋体"/>
                <w:sz w:val="20"/>
                <w:szCs w:val="20"/>
              </w:rPr>
              <w:t xml:space="preserve">   </w:t>
            </w:r>
            <w:r>
              <w:rPr>
                <w:rFonts w:ascii="宋体" w:hAnsi="宋体"/>
                <w:sz w:val="20"/>
                <w:szCs w:val="20"/>
              </w:rPr>
              <w:t>必</w:t>
            </w:r>
            <w:r>
              <w:rPr>
                <w:rFonts w:hint="eastAsia" w:ascii="宋体" w:hAnsi="宋体"/>
                <w:sz w:val="20"/>
                <w:szCs w:val="20"/>
              </w:rPr>
              <w:t xml:space="preserve">    </w:t>
            </w:r>
            <w:r>
              <w:rPr>
                <w:rFonts w:ascii="宋体" w:hAnsi="宋体"/>
                <w:sz w:val="20"/>
                <w:szCs w:val="20"/>
              </w:rPr>
              <w:t>修</w:t>
            </w:r>
          </w:p>
        </w:tc>
        <w:tc>
          <w:tcPr>
            <w:tcW w:w="560"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University English Writing Skills</w:t>
            </w:r>
            <w:r>
              <w:rPr>
                <w:rFonts w:hint="eastAsia" w:ascii="宋体" w:hAnsi="宋体" w:cs="宋体"/>
                <w:color w:val="000000" w:themeColor="text1"/>
                <w:kern w:val="0"/>
                <w:sz w:val="20"/>
                <w:szCs w:val="20"/>
                <w:lang w:bidi="ar"/>
              </w:rPr>
              <w:t xml:space="preserve"> (上）(下）</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OUW 101/</w:t>
            </w:r>
            <w:r>
              <w:t xml:space="preserve"> </w:t>
            </w:r>
            <w:r>
              <w:rPr>
                <w:rFonts w:ascii="宋体" w:hAnsi="宋体" w:cs="宋体"/>
                <w:color w:val="000000" w:themeColor="text1"/>
                <w:kern w:val="0"/>
                <w:sz w:val="20"/>
                <w:szCs w:val="20"/>
                <w:lang w:bidi="ar"/>
              </w:rPr>
              <w:t>OUW 102</w:t>
            </w:r>
          </w:p>
        </w:tc>
        <w:tc>
          <w:tcPr>
            <w:tcW w:w="42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olor w:val="000000" w:themeColor="text1"/>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r>
              <w:rPr>
                <w:rFonts w:ascii="宋体" w:hAnsi="宋体"/>
                <w:color w:val="000000" w:themeColor="text1"/>
                <w:sz w:val="20"/>
                <w:szCs w:val="20"/>
              </w:rPr>
              <w:t>*16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50"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Presentation Skills Course  </w:t>
            </w:r>
            <w:r>
              <w:rPr>
                <w:rFonts w:hint="eastAsia" w:ascii="宋体" w:hAnsi="宋体" w:cs="宋体"/>
                <w:color w:val="000000" w:themeColor="text1"/>
                <w:kern w:val="0"/>
                <w:sz w:val="20"/>
                <w:szCs w:val="20"/>
                <w:lang w:bidi="ar"/>
              </w:rPr>
              <w:t>（上）（下）</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OUP 101/</w:t>
            </w:r>
            <w:r>
              <w:rPr>
                <w:rFonts w:ascii="宋体" w:hAnsi="宋体" w:cs="宋体"/>
                <w:color w:val="000000" w:themeColor="text1"/>
                <w:kern w:val="0"/>
                <w:sz w:val="20"/>
                <w:szCs w:val="20"/>
                <w:lang w:bidi="ar"/>
              </w:rPr>
              <w:t>OUP 102</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olor w:val="000000" w:themeColor="text1"/>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57"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p>
        </w:tc>
        <w:tc>
          <w:tcPr>
            <w:tcW w:w="560"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250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Introduction to Quantitative Methods  (Level 4)</w:t>
            </w:r>
          </w:p>
        </w:tc>
        <w:tc>
          <w:tcPr>
            <w:tcW w:w="1644"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ACC 814</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87"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60"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250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Dynamic Business Environments  (DBE)(L4)</w:t>
            </w:r>
          </w:p>
        </w:tc>
        <w:tc>
          <w:tcPr>
            <w:tcW w:w="1644"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404</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Enterprising Organisations  (EO)(L4)</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405</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Principles of Marketing Practice (PMP)(L4)</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401</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7</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International Business Economics and Markets (IBEM)(L5)</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409</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8</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Buyer and Consumer Behaviour  (BCB)(L5)</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408</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9</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Human Resource Management (HRM)(L5)  </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HRM 815</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67"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Integrated Marketing Communications  (IMC)(L5)   </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406</w:t>
            </w:r>
          </w:p>
        </w:tc>
        <w:tc>
          <w:tcPr>
            <w:tcW w:w="42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67"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rPr>
              <w:t>1</w:t>
            </w:r>
            <w:r>
              <w:rPr>
                <w:rFonts w:hint="eastAsia" w:ascii="宋体" w:hAnsi="宋体"/>
                <w:sz w:val="20"/>
                <w:szCs w:val="20"/>
                <w:lang w:val="en-US" w:eastAsia="zh-CN"/>
              </w:rPr>
              <w:t>1</w:t>
            </w:r>
          </w:p>
        </w:tc>
        <w:tc>
          <w:tcPr>
            <w:tcW w:w="250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Theme="minorEastAsia" w:hAnsiTheme="minorEastAsia" w:cstheme="minorEastAsia"/>
                <w:sz w:val="18"/>
                <w:szCs w:val="18"/>
              </w:rPr>
              <w:t>现代物流管理基础</w:t>
            </w:r>
          </w:p>
        </w:tc>
        <w:tc>
          <w:tcPr>
            <w:tcW w:w="1644"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Theme="minorEastAsia" w:hAnsiTheme="minorEastAsia" w:cstheme="minorEastAsia"/>
                <w:sz w:val="20"/>
                <w:szCs w:val="20"/>
              </w:rPr>
              <w:t xml:space="preserve"> LMT101</w:t>
            </w:r>
          </w:p>
        </w:tc>
        <w:tc>
          <w:tcPr>
            <w:tcW w:w="425" w:type="dxa"/>
            <w:tcBorders>
              <w:top w:val="single" w:color="auto" w:sz="4" w:space="0"/>
              <w:left w:val="single" w:color="auto" w:sz="6" w:space="0"/>
              <w:bottom w:val="single" w:color="auto" w:sz="4" w:space="0"/>
              <w:right w:val="single" w:color="auto" w:sz="6" w:space="0"/>
            </w:tcBorders>
            <w:vAlign w:val="top"/>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color w:val="000000" w:themeColor="text1"/>
                <w:kern w:val="0"/>
                <w:sz w:val="20"/>
                <w:szCs w:val="20"/>
                <w:lang w:bidi="ar"/>
              </w:rPr>
            </w:pPr>
            <w:r>
              <w:rPr>
                <w:color w:val="00000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color w:val="000000" w:themeColor="text1"/>
                <w:kern w:val="0"/>
                <w:sz w:val="20"/>
                <w:szCs w:val="20"/>
                <w:lang w:bidi="ar"/>
              </w:rPr>
            </w:pPr>
            <w:r>
              <w:rPr>
                <w:rFonts w:hint="eastAsia"/>
                <w:color w:val="000000"/>
                <w:sz w:val="20"/>
                <w:szCs w:val="20"/>
              </w:rPr>
              <w:t>48</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hint="eastAsia" w:ascii="宋体" w:hAnsi="宋体" w:cs="宋体"/>
                <w:color w:val="000000" w:themeColor="text1"/>
                <w:kern w:val="0"/>
                <w:sz w:val="20"/>
                <w:szCs w:val="20"/>
                <w:lang w:bidi="ar"/>
              </w:rPr>
            </w:pP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cs="宋体"/>
                <w:color w:val="000000" w:themeColor="text1"/>
                <w:kern w:val="0"/>
                <w:sz w:val="20"/>
                <w:szCs w:val="20"/>
                <w:lang w:bidi="ar"/>
              </w:rPr>
            </w:pPr>
            <w:r>
              <w:rPr>
                <w:rFonts w:hint="eastAsia"/>
                <w:sz w:val="18"/>
                <w:szCs w:val="18"/>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3*16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hint="eastAsia"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w:t>
            </w:r>
          </w:p>
        </w:tc>
        <w:tc>
          <w:tcPr>
            <w:tcW w:w="250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Theme="minorEastAsia" w:hAnsiTheme="minorEastAsia" w:cstheme="minorEastAsia"/>
                <w:sz w:val="18"/>
                <w:szCs w:val="18"/>
              </w:rPr>
              <w:t>管理学基础</w:t>
            </w:r>
          </w:p>
        </w:tc>
        <w:tc>
          <w:tcPr>
            <w:tcW w:w="1644"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Theme="minorEastAsia" w:hAnsiTheme="minorEastAsia" w:cstheme="minorEastAsia"/>
                <w:sz w:val="20"/>
                <w:szCs w:val="20"/>
              </w:rPr>
              <w:t>LMT102</w:t>
            </w:r>
          </w:p>
        </w:tc>
        <w:tc>
          <w:tcPr>
            <w:tcW w:w="425" w:type="dxa"/>
            <w:tcBorders>
              <w:top w:val="single" w:color="auto" w:sz="4" w:space="0"/>
              <w:left w:val="single" w:color="auto" w:sz="6" w:space="0"/>
              <w:bottom w:val="single" w:color="auto" w:sz="4" w:space="0"/>
              <w:right w:val="single" w:color="auto" w:sz="6" w:space="0"/>
            </w:tcBorders>
            <w:vAlign w:val="top"/>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sz w:val="20"/>
                <w:szCs w:val="20"/>
              </w:rPr>
              <w:t>4</w:t>
            </w:r>
            <w:r>
              <w:rPr>
                <w:rFonts w:ascii="宋体" w:hAnsi="宋体" w:cs="宋体"/>
                <w:color w:val="000000"/>
                <w:sz w:val="20"/>
                <w:szCs w:val="20"/>
              </w:rPr>
              <w:t>8</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sz w:val="20"/>
                <w:szCs w:val="20"/>
              </w:rPr>
              <w:t>48</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sz w:val="18"/>
                <w:szCs w:val="18"/>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4*12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28"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60"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13</w:t>
            </w:r>
          </w:p>
        </w:tc>
        <w:tc>
          <w:tcPr>
            <w:tcW w:w="2505"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Theme="minorEastAsia" w:hAnsiTheme="minorEastAsia" w:cstheme="minorEastAsia"/>
                <w:sz w:val="18"/>
                <w:szCs w:val="18"/>
              </w:rPr>
              <w:t>应用数学基础</w:t>
            </w:r>
          </w:p>
        </w:tc>
        <w:tc>
          <w:tcPr>
            <w:tcW w:w="1644"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Theme="minorEastAsia" w:hAnsiTheme="minorEastAsia" w:cstheme="minorEastAsia"/>
                <w:sz w:val="20"/>
                <w:szCs w:val="20"/>
              </w:rPr>
              <w:t>LMT202</w:t>
            </w:r>
          </w:p>
        </w:tc>
        <w:tc>
          <w:tcPr>
            <w:tcW w:w="425" w:type="dxa"/>
            <w:tcBorders>
              <w:top w:val="single" w:color="auto" w:sz="6" w:space="0"/>
              <w:left w:val="single" w:color="auto" w:sz="6" w:space="0"/>
              <w:bottom w:val="single" w:color="auto" w:sz="4" w:space="0"/>
              <w:right w:val="single" w:color="auto" w:sz="6" w:space="0"/>
            </w:tcBorders>
            <w:vAlign w:val="top"/>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54</w:t>
            </w:r>
          </w:p>
        </w:tc>
        <w:tc>
          <w:tcPr>
            <w:tcW w:w="851"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olor w:val="000000" w:themeColor="text1"/>
                <w:sz w:val="20"/>
                <w:szCs w:val="20"/>
              </w:rPr>
              <w:t>10</w:t>
            </w:r>
          </w:p>
        </w:tc>
        <w:tc>
          <w:tcPr>
            <w:tcW w:w="992"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sz w:val="18"/>
                <w:szCs w:val="18"/>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4*16</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cs="宋体"/>
                <w:color w:val="FF0000"/>
                <w:kern w:val="0"/>
                <w:sz w:val="20"/>
                <w:szCs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60"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14</w:t>
            </w:r>
          </w:p>
        </w:tc>
        <w:tc>
          <w:tcPr>
            <w:tcW w:w="2505"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asciiTheme="minorEastAsia" w:hAnsiTheme="minorEastAsia" w:cstheme="minorEastAsia"/>
                <w:sz w:val="18"/>
                <w:szCs w:val="18"/>
              </w:rPr>
              <w:t>物流设施与设备</w:t>
            </w:r>
          </w:p>
        </w:tc>
        <w:tc>
          <w:tcPr>
            <w:tcW w:w="1644" w:type="dxa"/>
            <w:tcBorders>
              <w:top w:val="single" w:color="auto" w:sz="6" w:space="0"/>
              <w:left w:val="single" w:color="auto" w:sz="6" w:space="0"/>
              <w:bottom w:val="single" w:color="auto" w:sz="4" w:space="0"/>
              <w:right w:val="single" w:color="auto" w:sz="6" w:space="0"/>
            </w:tcBorders>
            <w:vAlign w:val="center"/>
          </w:tcPr>
          <w:p>
            <w:pPr>
              <w:jc w:val="center"/>
              <w:rPr>
                <w:rFonts w:asciiTheme="minorEastAsia" w:hAnsiTheme="minorEastAsia" w:cstheme="minorEastAsia"/>
                <w:color w:val="FF0000"/>
                <w:kern w:val="0"/>
                <w:sz w:val="20"/>
                <w:szCs w:val="20"/>
                <w:lang w:bidi="ar"/>
              </w:rPr>
            </w:pPr>
            <w:r>
              <w:rPr>
                <w:rFonts w:hint="eastAsia" w:asciiTheme="minorEastAsia" w:hAnsiTheme="minorEastAsia" w:cstheme="minorEastAsia"/>
                <w:color w:val="000000"/>
                <w:sz w:val="20"/>
                <w:szCs w:val="20"/>
              </w:rPr>
              <w:t xml:space="preserve">LMT201 </w:t>
            </w:r>
          </w:p>
        </w:tc>
        <w:tc>
          <w:tcPr>
            <w:tcW w:w="425" w:type="dxa"/>
            <w:tcBorders>
              <w:top w:val="single" w:color="auto" w:sz="6" w:space="0"/>
              <w:left w:val="single" w:color="auto" w:sz="6" w:space="0"/>
              <w:bottom w:val="single" w:color="auto" w:sz="4" w:space="0"/>
              <w:right w:val="single" w:color="auto" w:sz="6" w:space="0"/>
            </w:tcBorders>
            <w:vAlign w:val="top"/>
          </w:tcPr>
          <w:p>
            <w:pPr>
              <w:widowControl/>
              <w:jc w:val="center"/>
              <w:textAlignment w:val="center"/>
              <w:rPr>
                <w:rFonts w:ascii="宋体" w:hAnsi="宋体" w:cs="宋体"/>
                <w:color w:val="FF0000"/>
                <w:kern w:val="0"/>
                <w:sz w:val="20"/>
                <w:szCs w:val="20"/>
                <w:lang w:bidi="ar"/>
              </w:rPr>
            </w:pPr>
          </w:p>
        </w:tc>
        <w:tc>
          <w:tcPr>
            <w:tcW w:w="567"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48</w:t>
            </w: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36</w:t>
            </w: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ascii="宋体" w:hAnsi="宋体"/>
                <w:color w:val="000000" w:themeColor="text1"/>
                <w:sz w:val="20"/>
                <w:szCs w:val="20"/>
              </w:rPr>
              <w:t>12</w:t>
            </w:r>
          </w:p>
        </w:tc>
        <w:tc>
          <w:tcPr>
            <w:tcW w:w="992"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FF0000"/>
                <w:kern w:val="0"/>
                <w:sz w:val="20"/>
                <w:szCs w:val="20"/>
                <w:lang w:bidi="ar"/>
              </w:rPr>
            </w:pPr>
          </w:p>
        </w:tc>
        <w:tc>
          <w:tcPr>
            <w:tcW w:w="567" w:type="dxa"/>
            <w:tcBorders>
              <w:top w:val="single" w:color="auto" w:sz="6" w:space="0"/>
              <w:left w:val="single" w:color="auto" w:sz="4"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sz w:val="18"/>
                <w:szCs w:val="18"/>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eastAsia="宋体" w:cs="宋体"/>
                <w:color w:val="000000"/>
                <w:kern w:val="0"/>
                <w:sz w:val="22"/>
                <w:lang w:bidi="ar"/>
              </w:rPr>
              <w:t>3*16</w:t>
            </w: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765" w:type="dxa"/>
            <w:tcBorders>
              <w:top w:val="single" w:color="auto" w:sz="6" w:space="0"/>
              <w:left w:val="single" w:color="auto" w:sz="6" w:space="0"/>
              <w:bottom w:val="single" w:color="auto" w:sz="4" w:space="0"/>
              <w:right w:val="single" w:color="auto" w:sz="12" w:space="0"/>
            </w:tcBorders>
            <w:vAlign w:val="center"/>
          </w:tcPr>
          <w:p>
            <w:pPr>
              <w:widowControl/>
              <w:jc w:val="center"/>
              <w:textAlignment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60"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15</w:t>
            </w:r>
          </w:p>
        </w:tc>
        <w:tc>
          <w:tcPr>
            <w:tcW w:w="2505"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asciiTheme="minorEastAsia" w:hAnsiTheme="minorEastAsia" w:cstheme="minorEastAsia"/>
                <w:sz w:val="18"/>
                <w:szCs w:val="18"/>
              </w:rPr>
              <w:t>国际货运代理</w:t>
            </w:r>
          </w:p>
        </w:tc>
        <w:tc>
          <w:tcPr>
            <w:tcW w:w="1644" w:type="dxa"/>
            <w:tcBorders>
              <w:top w:val="single" w:color="auto" w:sz="6" w:space="0"/>
              <w:left w:val="single" w:color="auto" w:sz="6" w:space="0"/>
              <w:bottom w:val="single" w:color="auto" w:sz="4" w:space="0"/>
              <w:right w:val="single" w:color="auto" w:sz="6" w:space="0"/>
            </w:tcBorders>
            <w:vAlign w:val="center"/>
          </w:tcPr>
          <w:p>
            <w:pPr>
              <w:ind w:firstLine="400" w:firstLineChars="200"/>
              <w:rPr>
                <w:rFonts w:asciiTheme="minorEastAsia" w:hAnsiTheme="minorEastAsia" w:cstheme="minorEastAsia"/>
                <w:color w:val="FF0000"/>
                <w:kern w:val="0"/>
                <w:sz w:val="20"/>
                <w:szCs w:val="20"/>
                <w:lang w:bidi="ar"/>
              </w:rPr>
            </w:pPr>
            <w:r>
              <w:rPr>
                <w:rFonts w:hint="eastAsia" w:asciiTheme="minorEastAsia" w:hAnsiTheme="minorEastAsia" w:cstheme="minorEastAsia"/>
                <w:color w:val="000000"/>
                <w:sz w:val="20"/>
                <w:szCs w:val="20"/>
              </w:rPr>
              <w:t>LMT301</w:t>
            </w:r>
          </w:p>
        </w:tc>
        <w:tc>
          <w:tcPr>
            <w:tcW w:w="425" w:type="dxa"/>
            <w:tcBorders>
              <w:top w:val="single" w:color="auto" w:sz="6" w:space="0"/>
              <w:left w:val="single" w:color="auto" w:sz="6" w:space="0"/>
              <w:bottom w:val="single" w:color="auto" w:sz="4" w:space="0"/>
              <w:right w:val="single" w:color="auto" w:sz="6" w:space="0"/>
            </w:tcBorders>
            <w:vAlign w:val="top"/>
          </w:tcPr>
          <w:p>
            <w:pPr>
              <w:jc w:val="center"/>
              <w:rPr>
                <w:rFonts w:ascii="宋体" w:hAnsi="宋体" w:cs="宋体"/>
                <w:color w:val="FF0000"/>
                <w:kern w:val="0"/>
                <w:sz w:val="20"/>
                <w:szCs w:val="20"/>
                <w:lang w:bidi="ar"/>
              </w:rPr>
            </w:pP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sz w:val="20"/>
                <w:szCs w:val="20"/>
              </w:rPr>
              <w:t>3</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color w:val="000000"/>
                <w:sz w:val="20"/>
                <w:szCs w:val="20"/>
              </w:rPr>
              <w:t>54</w:t>
            </w: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ascii="宋体" w:hAnsi="宋体" w:cs="宋体"/>
                <w:color w:val="000000"/>
                <w:sz w:val="20"/>
                <w:szCs w:val="20"/>
              </w:rPr>
              <w:t>10</w:t>
            </w:r>
          </w:p>
        </w:tc>
        <w:tc>
          <w:tcPr>
            <w:tcW w:w="992"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FF0000"/>
                <w:kern w:val="0"/>
                <w:sz w:val="20"/>
                <w:szCs w:val="20"/>
                <w:lang w:bidi="ar"/>
              </w:rPr>
            </w:pPr>
          </w:p>
        </w:tc>
        <w:tc>
          <w:tcPr>
            <w:tcW w:w="567" w:type="dxa"/>
            <w:tcBorders>
              <w:top w:val="single" w:color="auto" w:sz="6" w:space="0"/>
              <w:left w:val="single" w:color="auto" w:sz="4"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sz w:val="18"/>
                <w:szCs w:val="18"/>
              </w:rPr>
              <w:t>考试</w:t>
            </w: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FF0000"/>
                <w:kern w:val="0"/>
                <w:sz w:val="20"/>
                <w:szCs w:val="20"/>
                <w:lang w:bidi="ar"/>
              </w:rPr>
            </w:pP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eastAsia="宋体" w:cs="宋体"/>
                <w:color w:val="000000"/>
                <w:kern w:val="0"/>
                <w:sz w:val="22"/>
                <w:lang w:bidi="ar"/>
              </w:rPr>
              <w:t>4*16</w:t>
            </w: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16</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eastAsia="宋体" w:cs="宋体"/>
                <w:color w:val="000000"/>
                <w:kern w:val="0"/>
                <w:sz w:val="18"/>
                <w:szCs w:val="18"/>
                <w:lang w:bidi="ar"/>
              </w:rPr>
              <w:t>物流信息技术</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Theme="minorEastAsia" w:hAnsiTheme="minorEastAsia" w:cstheme="minorEastAsia"/>
                <w:color w:val="FF0000"/>
                <w:kern w:val="0"/>
                <w:sz w:val="20"/>
                <w:szCs w:val="20"/>
                <w:lang w:bidi="ar"/>
              </w:rPr>
            </w:pPr>
            <w:r>
              <w:rPr>
                <w:rFonts w:hint="eastAsia" w:asciiTheme="minorEastAsia" w:hAnsiTheme="minorEastAsia" w:cstheme="minorEastAsia"/>
                <w:color w:val="000000"/>
                <w:kern w:val="0"/>
                <w:sz w:val="20"/>
                <w:szCs w:val="20"/>
                <w:lang w:bidi="ar"/>
              </w:rPr>
              <w:t>LMT 302</w:t>
            </w:r>
          </w:p>
        </w:tc>
        <w:tc>
          <w:tcPr>
            <w:tcW w:w="425" w:type="dxa"/>
            <w:tcBorders>
              <w:top w:val="single" w:color="auto" w:sz="4" w:space="0"/>
              <w:left w:val="single" w:color="auto" w:sz="6" w:space="0"/>
              <w:bottom w:val="single" w:color="auto" w:sz="4" w:space="0"/>
              <w:right w:val="single" w:color="auto" w:sz="6" w:space="0"/>
            </w:tcBorders>
            <w:vAlign w:val="top"/>
          </w:tcPr>
          <w:p>
            <w:pPr>
              <w:jc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color w:val="00000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color w:val="000000"/>
                <w:sz w:val="20"/>
                <w:szCs w:val="20"/>
              </w:rPr>
              <w:t>40</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color w:val="000000"/>
                <w:sz w:val="20"/>
                <w:szCs w:val="20"/>
              </w:rPr>
              <w:t>8</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FF0000"/>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sz w:val="18"/>
                <w:szCs w:val="18"/>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FF0000"/>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eastAsia="宋体" w:cs="宋体"/>
                <w:color w:val="000000"/>
                <w:kern w:val="0"/>
                <w:sz w:val="22"/>
                <w:lang w:bidi="ar"/>
              </w:rPr>
              <w:t>3*16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eastAsia="宋体" w:cs="宋体"/>
                <w:color w:val="000000"/>
                <w:kern w:val="0"/>
                <w:sz w:val="18"/>
                <w:szCs w:val="18"/>
                <w:lang w:bidi="ar"/>
              </w:rPr>
              <w:t>物流客户服务与管理</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Theme="minorEastAsia" w:hAnsiTheme="minorEastAsia" w:cstheme="minorEastAsia"/>
                <w:color w:val="FF0000"/>
                <w:kern w:val="0"/>
                <w:sz w:val="20"/>
                <w:szCs w:val="20"/>
                <w:lang w:bidi="ar"/>
              </w:rPr>
            </w:pPr>
            <w:r>
              <w:rPr>
                <w:rStyle w:val="135"/>
                <w:rFonts w:hint="default" w:asciiTheme="minorEastAsia" w:hAnsiTheme="minorEastAsia" w:eastAsiaTheme="minorEastAsia" w:cstheme="minorEastAsia"/>
                <w:sz w:val="20"/>
                <w:szCs w:val="20"/>
                <w:lang w:bidi="ar"/>
              </w:rPr>
              <w:t>LMT 303</w:t>
            </w:r>
          </w:p>
        </w:tc>
        <w:tc>
          <w:tcPr>
            <w:tcW w:w="425" w:type="dxa"/>
            <w:tcBorders>
              <w:top w:val="single" w:color="auto" w:sz="4" w:space="0"/>
              <w:left w:val="single" w:color="auto" w:sz="6" w:space="0"/>
              <w:bottom w:val="single" w:color="auto" w:sz="4" w:space="0"/>
              <w:right w:val="single" w:color="auto" w:sz="6" w:space="0"/>
            </w:tcBorders>
            <w:vAlign w:val="top"/>
          </w:tcPr>
          <w:p>
            <w:pPr>
              <w:jc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sz w:val="18"/>
                <w:szCs w:val="18"/>
              </w:rPr>
              <w:t>48</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sz w:val="18"/>
                <w:szCs w:val="18"/>
              </w:rPr>
              <w:t>40</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sz w:val="18"/>
                <w:szCs w:val="18"/>
              </w:rPr>
              <w:t>8</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FF0000"/>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r>
              <w:rPr>
                <w:rFonts w:hint="eastAsia"/>
                <w:sz w:val="18"/>
                <w:szCs w:val="18"/>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FF0000"/>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r>
              <w:rPr>
                <w:rFonts w:hint="eastAsia" w:ascii="宋体" w:hAnsi="宋体" w:eastAsia="宋体" w:cs="宋体"/>
                <w:color w:val="000000"/>
                <w:kern w:val="0"/>
                <w:sz w:val="22"/>
                <w:lang w:bidi="ar"/>
              </w:rPr>
              <w:t>3*16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cs="宋体"/>
                <w:color w:val="FF0000"/>
                <w:kern w:val="0"/>
                <w:sz w:val="20"/>
                <w:szCs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18</w:t>
            </w:r>
          </w:p>
        </w:tc>
        <w:tc>
          <w:tcPr>
            <w:tcW w:w="250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Theme="minorEastAsia" w:hAnsiTheme="minorEastAsia" w:cstheme="minorEastAsia"/>
                <w:sz w:val="18"/>
                <w:szCs w:val="18"/>
              </w:rPr>
              <w:t>仓储与配送管理</w:t>
            </w:r>
          </w:p>
        </w:tc>
        <w:tc>
          <w:tcPr>
            <w:tcW w:w="1644"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cstheme="minorEastAsia"/>
                <w:kern w:val="0"/>
                <w:sz w:val="20"/>
                <w:szCs w:val="20"/>
                <w:lang w:bidi="ar"/>
              </w:rPr>
            </w:pPr>
            <w:r>
              <w:rPr>
                <w:rFonts w:hint="eastAsia"/>
                <w:color w:val="000000"/>
                <w:sz w:val="20"/>
                <w:szCs w:val="20"/>
              </w:rPr>
              <w:t xml:space="preserve">LMT303 </w:t>
            </w:r>
          </w:p>
        </w:tc>
        <w:tc>
          <w:tcPr>
            <w:tcW w:w="425" w:type="dxa"/>
            <w:tcBorders>
              <w:top w:val="single" w:color="auto" w:sz="4" w:space="0"/>
              <w:left w:val="single" w:color="auto" w:sz="6" w:space="0"/>
              <w:bottom w:val="single" w:color="auto" w:sz="4" w:space="0"/>
              <w:right w:val="single" w:color="auto" w:sz="6" w:space="0"/>
            </w:tcBorders>
            <w:vAlign w:val="top"/>
          </w:tcPr>
          <w:p>
            <w:pPr>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cs="宋体"/>
                <w:color w:val="00000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cs="宋体"/>
                <w:color w:val="000000" w:themeColor="text1"/>
                <w:kern w:val="0"/>
                <w:sz w:val="20"/>
                <w:szCs w:val="20"/>
                <w:lang w:bidi="ar"/>
              </w:rPr>
              <w:t>54</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color w:val="000000" w:themeColor="text1"/>
                <w:sz w:val="20"/>
                <w:szCs w:val="20"/>
              </w:rPr>
              <w:t>10</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sz w:val="18"/>
                <w:szCs w:val="18"/>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 xml:space="preserve"> </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4*16</w:t>
            </w: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19</w:t>
            </w:r>
          </w:p>
        </w:tc>
        <w:tc>
          <w:tcPr>
            <w:tcW w:w="2505"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运输管理</w:t>
            </w:r>
          </w:p>
        </w:tc>
        <w:tc>
          <w:tcPr>
            <w:tcW w:w="1644"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cstheme="minorEastAsia"/>
                <w:color w:val="000000"/>
                <w:sz w:val="20"/>
                <w:szCs w:val="20"/>
              </w:rPr>
            </w:pPr>
            <w:r>
              <w:rPr>
                <w:rFonts w:hint="eastAsia"/>
                <w:color w:val="000000"/>
                <w:sz w:val="20"/>
                <w:szCs w:val="20"/>
              </w:rPr>
              <w:t>LMT402</w:t>
            </w:r>
          </w:p>
        </w:tc>
        <w:tc>
          <w:tcPr>
            <w:tcW w:w="425" w:type="dxa"/>
            <w:tcBorders>
              <w:top w:val="single" w:color="auto" w:sz="4" w:space="0"/>
              <w:left w:val="single" w:color="auto" w:sz="6" w:space="0"/>
              <w:bottom w:val="single" w:color="auto" w:sz="4" w:space="0"/>
              <w:right w:val="single" w:color="auto" w:sz="6" w:space="0"/>
            </w:tcBorders>
            <w:vAlign w:val="top"/>
          </w:tcPr>
          <w:p>
            <w:pPr>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4</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color w:val="00000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color w:val="000000"/>
                <w:sz w:val="20"/>
                <w:szCs w:val="20"/>
              </w:rPr>
            </w:pPr>
            <w:r>
              <w:rPr>
                <w:rFonts w:hint="eastAsia" w:ascii="宋体" w:hAnsi="宋体" w:cs="宋体"/>
                <w:color w:val="000000"/>
                <w:sz w:val="20"/>
                <w:szCs w:val="20"/>
              </w:rPr>
              <w:t>64</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sz w:val="20"/>
                <w:szCs w:val="20"/>
              </w:rPr>
            </w:pP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sz w:val="18"/>
                <w:szCs w:val="18"/>
              </w:rPr>
            </w:pPr>
            <w:r>
              <w:rPr>
                <w:rFonts w:hint="eastAsia"/>
                <w:sz w:val="18"/>
                <w:szCs w:val="18"/>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kern w:val="0"/>
                <w:sz w:val="22"/>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4*16</w:t>
            </w: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2505"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采购与供应链管理</w:t>
            </w:r>
          </w:p>
        </w:tc>
        <w:tc>
          <w:tcPr>
            <w:tcW w:w="1644"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cstheme="minorEastAsia"/>
                <w:color w:val="000000"/>
                <w:sz w:val="20"/>
                <w:szCs w:val="20"/>
              </w:rPr>
            </w:pPr>
            <w:r>
              <w:rPr>
                <w:rFonts w:hint="eastAsia"/>
                <w:color w:val="000000"/>
                <w:sz w:val="20"/>
                <w:szCs w:val="20"/>
              </w:rPr>
              <w:t>LMT403</w:t>
            </w:r>
          </w:p>
        </w:tc>
        <w:tc>
          <w:tcPr>
            <w:tcW w:w="425" w:type="dxa"/>
            <w:tcBorders>
              <w:top w:val="single" w:color="auto" w:sz="4" w:space="0"/>
              <w:left w:val="single" w:color="auto" w:sz="6" w:space="0"/>
              <w:bottom w:val="single" w:color="auto" w:sz="4" w:space="0"/>
              <w:right w:val="single" w:color="auto" w:sz="6" w:space="0"/>
            </w:tcBorders>
            <w:vAlign w:val="top"/>
          </w:tcPr>
          <w:p>
            <w:pPr>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4</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lang w:bidi="ar"/>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color w:val="000000"/>
                <w:sz w:val="20"/>
                <w:szCs w:val="20"/>
              </w:rPr>
            </w:pPr>
            <w:r>
              <w:rPr>
                <w:rFonts w:hint="eastAsia" w:ascii="宋体" w:hAnsi="宋体"/>
                <w:sz w:val="20"/>
                <w:szCs w:val="20"/>
              </w:rPr>
              <w:t>64</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sz w:val="20"/>
                <w:szCs w:val="20"/>
              </w:rPr>
            </w:pP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sz w:val="18"/>
                <w:szCs w:val="18"/>
              </w:rPr>
            </w:pPr>
            <w:r>
              <w:rPr>
                <w:rFonts w:hint="eastAsia" w:ascii="宋体" w:hAnsi="宋体" w:cs="宋体"/>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kern w:val="0"/>
                <w:sz w:val="22"/>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4*16</w:t>
            </w: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21</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Theme="minorEastAsia" w:hAnsiTheme="minorEastAsia" w:cstheme="minorEastAsia"/>
                <w:color w:val="000000"/>
                <w:kern w:val="0"/>
                <w:sz w:val="18"/>
                <w:szCs w:val="18"/>
                <w:lang w:bidi="ar"/>
              </w:rPr>
              <w:t>物流项目管理</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eastAsia="宋体" w:cs="宋体"/>
                <w:color w:val="000000"/>
                <w:kern w:val="0"/>
                <w:sz w:val="22"/>
                <w:lang w:bidi="ar"/>
              </w:rPr>
              <w:t>LMT 501</w:t>
            </w:r>
          </w:p>
        </w:tc>
        <w:tc>
          <w:tcPr>
            <w:tcW w:w="425" w:type="dxa"/>
            <w:tcBorders>
              <w:top w:val="single" w:color="auto" w:sz="4" w:space="0"/>
              <w:left w:val="single" w:color="auto" w:sz="6" w:space="0"/>
              <w:bottom w:val="single" w:color="auto" w:sz="4" w:space="0"/>
              <w:right w:val="single" w:color="auto" w:sz="6" w:space="0"/>
            </w:tcBorders>
            <w:vAlign w:val="top"/>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3*16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22</w:t>
            </w:r>
          </w:p>
        </w:tc>
        <w:tc>
          <w:tcPr>
            <w:tcW w:w="250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Theme="minorEastAsia" w:hAnsiTheme="minorEastAsia" w:cstheme="minorEastAsia"/>
                <w:color w:val="000000"/>
                <w:kern w:val="0"/>
                <w:sz w:val="18"/>
                <w:szCs w:val="18"/>
                <w:lang w:bidi="ar"/>
              </w:rPr>
              <w:t>报检报关</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eastAsia="宋体" w:cs="宋体"/>
                <w:color w:val="000000"/>
                <w:kern w:val="0"/>
                <w:sz w:val="22"/>
                <w:lang w:bidi="ar"/>
              </w:rPr>
              <w:t>LMT 502</w:t>
            </w:r>
          </w:p>
        </w:tc>
        <w:tc>
          <w:tcPr>
            <w:tcW w:w="425" w:type="dxa"/>
            <w:tcBorders>
              <w:top w:val="single" w:color="auto" w:sz="4" w:space="0"/>
              <w:left w:val="single" w:color="auto" w:sz="6" w:space="0"/>
              <w:bottom w:val="single" w:color="auto" w:sz="4" w:space="0"/>
              <w:right w:val="single" w:color="auto" w:sz="6" w:space="0"/>
            </w:tcBorders>
            <w:vAlign w:val="top"/>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36</w:t>
            </w:r>
          </w:p>
        </w:tc>
        <w:tc>
          <w:tcPr>
            <w:tcW w:w="99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sz w:val="18"/>
                <w:szCs w:val="18"/>
              </w:rPr>
              <w:t>考查</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3*16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60"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23</w:t>
            </w:r>
          </w:p>
        </w:tc>
        <w:tc>
          <w:tcPr>
            <w:tcW w:w="2505"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color w:val="000000" w:themeColor="text1"/>
                <w:sz w:val="18"/>
                <w:szCs w:val="18"/>
              </w:rPr>
              <w:t>实习报告</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color w:val="000000" w:themeColor="text1"/>
                <w:kern w:val="0"/>
                <w:sz w:val="20"/>
                <w:szCs w:val="20"/>
                <w:lang w:bidi="ar"/>
              </w:rPr>
              <w:t>GRD 902</w:t>
            </w:r>
          </w:p>
        </w:tc>
        <w:tc>
          <w:tcPr>
            <w:tcW w:w="425" w:type="dxa"/>
            <w:tcBorders>
              <w:top w:val="single" w:color="auto" w:sz="4" w:space="0"/>
              <w:left w:val="single" w:color="auto" w:sz="6" w:space="0"/>
              <w:bottom w:val="single" w:color="auto" w:sz="4" w:space="0"/>
              <w:right w:val="single" w:color="auto" w:sz="6" w:space="0"/>
            </w:tcBorders>
            <w:vAlign w:val="top"/>
          </w:tcPr>
          <w:p>
            <w:pPr>
              <w:widowControl/>
              <w:jc w:val="center"/>
              <w:textAlignment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5</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cs="宋体"/>
                <w:color w:val="000000" w:themeColor="text1"/>
                <w:kern w:val="0"/>
                <w:sz w:val="20"/>
                <w:szCs w:val="20"/>
                <w:lang w:bidi="ar"/>
              </w:rPr>
              <w:t>1</w:t>
            </w:r>
            <w:r>
              <w:rPr>
                <w:rFonts w:hint="eastAsia" w:ascii="宋体" w:hAnsi="宋体" w:cs="宋体"/>
                <w:color w:val="000000" w:themeColor="text1"/>
                <w:kern w:val="0"/>
                <w:sz w:val="20"/>
                <w:szCs w:val="20"/>
                <w:lang w:bidi="ar"/>
              </w:rPr>
              <w:t>68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cs="宋体"/>
                <w:color w:val="000000" w:themeColor="text1"/>
                <w:kern w:val="0"/>
                <w:sz w:val="20"/>
                <w:szCs w:val="20"/>
                <w:lang w:bidi="ar"/>
              </w:rPr>
              <w:t>168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cs="宋体"/>
                <w:kern w:val="0"/>
                <w:sz w:val="20"/>
                <w:szCs w:val="20"/>
                <w:lang w:bidi="ar"/>
              </w:rPr>
            </w:pPr>
            <w:r>
              <w:rPr>
                <w:rFonts w:hint="eastAsia" w:ascii="宋体" w:hAnsi="宋体"/>
                <w:color w:val="000000" w:themeColor="text1"/>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28</w:t>
            </w:r>
            <w:r>
              <w:rPr>
                <w:rFonts w:ascii="宋体" w:hAnsi="宋体"/>
                <w:color w:val="000000" w:themeColor="text1"/>
                <w:sz w:val="20"/>
                <w:szCs w:val="20"/>
              </w:rPr>
              <w:t>*6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39"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60"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hint="default" w:ascii="宋体" w:hAnsi="宋体" w:eastAsiaTheme="minorEastAsia"/>
                <w:sz w:val="20"/>
                <w:szCs w:val="20"/>
                <w:lang w:val="en-US" w:eastAsia="zh-CN"/>
              </w:rPr>
            </w:pPr>
            <w:r>
              <w:rPr>
                <w:rFonts w:hint="eastAsia" w:ascii="宋体" w:hAnsi="宋体"/>
                <w:sz w:val="20"/>
                <w:szCs w:val="20"/>
                <w:lang w:val="en-US" w:eastAsia="zh-CN"/>
              </w:rPr>
              <w:t>24</w:t>
            </w:r>
          </w:p>
        </w:tc>
        <w:tc>
          <w:tcPr>
            <w:tcW w:w="2505"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cstheme="minorEastAsia"/>
                <w:sz w:val="18"/>
                <w:szCs w:val="18"/>
              </w:rPr>
            </w:pPr>
            <w:r>
              <w:rPr>
                <w:rFonts w:hint="eastAsia" w:ascii="宋体" w:hAnsi="宋体"/>
                <w:color w:val="000000" w:themeColor="text1"/>
                <w:sz w:val="20"/>
                <w:szCs w:val="20"/>
              </w:rPr>
              <w:t>实习</w:t>
            </w:r>
          </w:p>
        </w:tc>
        <w:tc>
          <w:tcPr>
            <w:tcW w:w="1644"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color w:val="000000" w:themeColor="text1"/>
                <w:kern w:val="0"/>
                <w:sz w:val="20"/>
                <w:szCs w:val="20"/>
                <w:lang w:bidi="ar"/>
              </w:rPr>
              <w:t>GRD 901</w:t>
            </w:r>
          </w:p>
        </w:tc>
        <w:tc>
          <w:tcPr>
            <w:tcW w:w="425" w:type="dxa"/>
            <w:tcBorders>
              <w:top w:val="single" w:color="auto" w:sz="4" w:space="0"/>
              <w:left w:val="single" w:color="auto" w:sz="6" w:space="0"/>
              <w:bottom w:val="single" w:color="auto" w:sz="4" w:space="0"/>
              <w:right w:val="single" w:color="auto" w:sz="6" w:space="0"/>
            </w:tcBorders>
            <w:vAlign w:val="top"/>
          </w:tcPr>
          <w:p>
            <w:pPr>
              <w:widowControl/>
              <w:jc w:val="center"/>
              <w:textAlignment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6</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720</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0</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sz w:val="20"/>
                <w:szCs w:val="20"/>
              </w:rPr>
            </w:pPr>
            <w:r>
              <w:rPr>
                <w:rFonts w:hint="eastAsia" w:ascii="宋体" w:hAnsi="宋体" w:cs="宋体"/>
                <w:color w:val="000000" w:themeColor="text1"/>
                <w:kern w:val="0"/>
                <w:sz w:val="20"/>
                <w:szCs w:val="20"/>
                <w:lang w:bidi="ar"/>
              </w:rPr>
              <w:t>720</w:t>
            </w:r>
          </w:p>
        </w:tc>
        <w:tc>
          <w:tcPr>
            <w:tcW w:w="567"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30</w:t>
            </w:r>
            <w:r>
              <w:rPr>
                <w:rFonts w:ascii="宋体" w:hAnsi="宋体"/>
                <w:color w:val="000000" w:themeColor="text1"/>
                <w:sz w:val="20"/>
                <w:szCs w:val="20"/>
              </w:rPr>
              <w:t>*</w:t>
            </w:r>
            <w:r>
              <w:rPr>
                <w:rFonts w:hint="eastAsia" w:ascii="宋体" w:hAnsi="宋体"/>
                <w:color w:val="000000" w:themeColor="text1"/>
                <w:sz w:val="20"/>
                <w:szCs w:val="20"/>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exac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tcBorders>
              <w:top w:val="single" w:color="auto" w:sz="6" w:space="0"/>
              <w:left w:val="single" w:color="auto" w:sz="6" w:space="0"/>
              <w:right w:val="single" w:color="auto" w:sz="6" w:space="0"/>
            </w:tcBorders>
            <w:vAlign w:val="center"/>
          </w:tcPr>
          <w:p>
            <w:pPr>
              <w:jc w:val="center"/>
              <w:rPr>
                <w:rFonts w:ascii="宋体" w:hAnsi="宋体"/>
                <w:sz w:val="20"/>
                <w:szCs w:val="20"/>
              </w:rPr>
            </w:pPr>
          </w:p>
        </w:tc>
        <w:tc>
          <w:tcPr>
            <w:tcW w:w="306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小计：（总学时比例</w:t>
            </w:r>
            <w:r>
              <w:rPr>
                <w:rFonts w:hint="eastAsia" w:ascii="宋体" w:hAnsi="宋体"/>
                <w:color w:val="000000" w:themeColor="text1"/>
                <w:sz w:val="20"/>
                <w:szCs w:val="20"/>
                <w:lang w:val="en-US" w:eastAsia="zh-CN"/>
              </w:rPr>
              <w:t>57.02</w:t>
            </w:r>
            <w:r>
              <w:rPr>
                <w:rFonts w:ascii="宋体" w:hAnsi="宋体"/>
                <w:color w:val="000000" w:themeColor="text1"/>
                <w:sz w:val="20"/>
                <w:szCs w:val="20"/>
              </w:rPr>
              <w:t>%</w:t>
            </w:r>
            <w:r>
              <w:rPr>
                <w:rFonts w:hint="eastAsia" w:ascii="宋体" w:hAnsi="宋体"/>
                <w:color w:val="000000" w:themeColor="text1"/>
                <w:sz w:val="20"/>
                <w:szCs w:val="20"/>
              </w:rPr>
              <w:t>）</w:t>
            </w:r>
          </w:p>
        </w:tc>
        <w:tc>
          <w:tcPr>
            <w:tcW w:w="164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425" w:type="dxa"/>
            <w:tcBorders>
              <w:top w:val="single" w:color="auto" w:sz="6" w:space="0"/>
              <w:left w:val="single" w:color="auto" w:sz="6" w:space="0"/>
              <w:bottom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cs="宋体"/>
                <w:kern w:val="0"/>
                <w:sz w:val="20"/>
                <w:szCs w:val="20"/>
                <w:lang w:val="en-US" w:bidi="ar"/>
              </w:rPr>
            </w:pPr>
            <w:r>
              <w:rPr>
                <w:rFonts w:hint="eastAsia" w:ascii="宋体" w:hAnsi="宋体" w:eastAsia="宋体" w:cs="宋体"/>
                <w:i w:val="0"/>
                <w:color w:val="000000"/>
                <w:kern w:val="0"/>
                <w:sz w:val="22"/>
                <w:szCs w:val="22"/>
                <w:u w:val="none"/>
                <w:lang w:val="en-US" w:eastAsia="zh-CN" w:bidi="ar"/>
              </w:rPr>
              <w:t>70</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cs="宋体"/>
                <w:kern w:val="0"/>
                <w:sz w:val="20"/>
                <w:szCs w:val="20"/>
                <w:lang w:val="en-US" w:bidi="ar"/>
              </w:rPr>
            </w:pPr>
            <w:r>
              <w:rPr>
                <w:rFonts w:hint="eastAsia" w:ascii="宋体" w:hAnsi="宋体" w:eastAsia="宋体" w:cs="宋体"/>
                <w:i w:val="0"/>
                <w:color w:val="000000"/>
                <w:kern w:val="0"/>
                <w:sz w:val="22"/>
                <w:szCs w:val="22"/>
                <w:u w:val="none"/>
                <w:lang w:val="en-US" w:eastAsia="zh-CN" w:bidi="ar"/>
              </w:rPr>
              <w:t>1916</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cs="宋体"/>
                <w:kern w:val="0"/>
                <w:sz w:val="20"/>
                <w:szCs w:val="20"/>
                <w:lang w:val="en-US" w:bidi="ar"/>
              </w:rPr>
            </w:pPr>
            <w:r>
              <w:rPr>
                <w:rFonts w:hint="eastAsia" w:ascii="宋体" w:hAnsi="宋体" w:eastAsia="宋体" w:cs="宋体"/>
                <w:i w:val="0"/>
                <w:color w:val="000000"/>
                <w:kern w:val="0"/>
                <w:sz w:val="22"/>
                <w:szCs w:val="22"/>
                <w:u w:val="none"/>
                <w:lang w:val="en-US" w:eastAsia="zh-CN" w:bidi="ar"/>
              </w:rPr>
              <w:t>922</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ascii="宋体" w:hAnsi="宋体" w:cs="宋体"/>
                <w:kern w:val="0"/>
                <w:sz w:val="20"/>
                <w:szCs w:val="20"/>
                <w:lang w:bidi="ar"/>
              </w:rPr>
            </w:pPr>
            <w:r>
              <w:rPr>
                <w:rFonts w:hint="eastAsia" w:ascii="宋体" w:hAnsi="宋体" w:eastAsia="宋体" w:cs="宋体"/>
                <w:i w:val="0"/>
                <w:color w:val="000000"/>
                <w:kern w:val="0"/>
                <w:sz w:val="22"/>
                <w:szCs w:val="22"/>
                <w:u w:val="none"/>
                <w:lang w:val="en-US" w:eastAsia="zh-CN" w:bidi="ar"/>
              </w:rPr>
              <w:t>274</w:t>
            </w:r>
          </w:p>
        </w:tc>
        <w:tc>
          <w:tcPr>
            <w:tcW w:w="99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720</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cs="宋体"/>
                <w:kern w:val="0"/>
                <w:sz w:val="20"/>
                <w:szCs w:val="20"/>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exac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restart"/>
            <w:tcBorders>
              <w:top w:val="single" w:color="auto" w:sz="6" w:space="0"/>
              <w:left w:val="single" w:color="auto" w:sz="6" w:space="0"/>
              <w:right w:val="single" w:color="auto" w:sz="6" w:space="0"/>
            </w:tcBorders>
            <w:vAlign w:val="center"/>
          </w:tcPr>
          <w:p>
            <w:pPr>
              <w:jc w:val="center"/>
              <w:rPr>
                <w:rFonts w:ascii="宋体" w:hAnsi="宋体"/>
                <w:sz w:val="20"/>
                <w:szCs w:val="20"/>
              </w:rPr>
            </w:pPr>
            <w:r>
              <w:rPr>
                <w:rFonts w:ascii="宋体" w:hAnsi="宋体"/>
                <w:sz w:val="20"/>
                <w:szCs w:val="20"/>
              </w:rPr>
              <w:t>选</w:t>
            </w:r>
            <w:r>
              <w:rPr>
                <w:rFonts w:hint="eastAsia" w:ascii="宋体" w:hAnsi="宋体"/>
                <w:sz w:val="20"/>
                <w:szCs w:val="20"/>
              </w:rPr>
              <w:t xml:space="preserve">   </w:t>
            </w:r>
            <w:r>
              <w:rPr>
                <w:rFonts w:ascii="宋体" w:hAnsi="宋体"/>
                <w:sz w:val="20"/>
                <w:szCs w:val="20"/>
              </w:rPr>
              <w:t>修</w:t>
            </w:r>
            <w:r>
              <w:rPr>
                <w:rFonts w:hint="eastAsia" w:ascii="宋体" w:hAnsi="宋体"/>
                <w:sz w:val="20"/>
                <w:szCs w:val="20"/>
              </w:rPr>
              <w:t xml:space="preserve">   </w:t>
            </w:r>
            <w:r>
              <w:rPr>
                <w:rFonts w:ascii="宋体" w:hAnsi="宋体"/>
                <w:sz w:val="20"/>
                <w:szCs w:val="20"/>
              </w:rPr>
              <w:t>课</w:t>
            </w:r>
            <w:r>
              <w:rPr>
                <w:rFonts w:hint="eastAsia" w:ascii="宋体" w:hAnsi="宋体"/>
                <w:sz w:val="20"/>
                <w:szCs w:val="20"/>
              </w:rPr>
              <w:t xml:space="preserve">  </w:t>
            </w:r>
            <w:r>
              <w:rPr>
                <w:rFonts w:ascii="宋体" w:hAnsi="宋体"/>
                <w:sz w:val="20"/>
                <w:szCs w:val="20"/>
              </w:rPr>
              <w:t>程</w:t>
            </w:r>
          </w:p>
          <w:p>
            <w:pPr>
              <w:rPr>
                <w:rFonts w:ascii="宋体" w:hAnsi="宋体"/>
                <w:sz w:val="20"/>
                <w:szCs w:val="20"/>
              </w:rPr>
            </w:pPr>
          </w:p>
        </w:tc>
        <w:tc>
          <w:tcPr>
            <w:tcW w:w="56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color w:val="000000"/>
                <w:sz w:val="20"/>
                <w:szCs w:val="20"/>
              </w:rPr>
              <w:t>市场营销</w:t>
            </w:r>
          </w:p>
        </w:tc>
        <w:tc>
          <w:tcPr>
            <w:tcW w:w="16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0"/>
                <w:szCs w:val="20"/>
                <w:lang w:bidi="ar"/>
              </w:rPr>
            </w:pPr>
            <w:r>
              <w:rPr>
                <w:rFonts w:hint="eastAsia" w:ascii="宋体" w:hAnsi="宋体" w:cs="宋体"/>
                <w:color w:val="000000"/>
                <w:sz w:val="20"/>
                <w:szCs w:val="20"/>
              </w:rPr>
              <w:t>LMT203</w:t>
            </w:r>
          </w:p>
        </w:tc>
        <w:tc>
          <w:tcPr>
            <w:tcW w:w="425" w:type="dxa"/>
            <w:tcBorders>
              <w:top w:val="single" w:color="auto" w:sz="6" w:space="0"/>
              <w:left w:val="single" w:color="auto" w:sz="6" w:space="0"/>
              <w:bottom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0"/>
                <w:szCs w:val="20"/>
                <w:lang w:bidi="ar"/>
              </w:rPr>
            </w:pPr>
            <w:r>
              <w:rPr>
                <w:rFonts w:hint="eastAsia"/>
                <w:sz w:val="18"/>
                <w:szCs w:val="18"/>
              </w:rPr>
              <w:t>2</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0"/>
                <w:szCs w:val="20"/>
                <w:lang w:bidi="ar"/>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kern w:val="0"/>
                <w:sz w:val="20"/>
                <w:szCs w:val="20"/>
                <w:lang w:bidi="ar"/>
              </w:rPr>
            </w:pPr>
            <w:r>
              <w:rPr>
                <w:rFonts w:hint="eastAsia"/>
                <w:color w:val="000000"/>
                <w:sz w:val="20"/>
                <w:szCs w:val="20"/>
              </w:rPr>
              <w:t xml:space="preserve"> </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2505"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cs="宋体"/>
                <w:color w:val="000000"/>
                <w:sz w:val="20"/>
                <w:szCs w:val="20"/>
              </w:rPr>
              <w:t>冷链物流</w:t>
            </w:r>
          </w:p>
        </w:tc>
        <w:tc>
          <w:tcPr>
            <w:tcW w:w="1644"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LMT204</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sz w:val="18"/>
                <w:szCs w:val="18"/>
              </w:rPr>
              <w:t>2</w:t>
            </w: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32</w:t>
            </w:r>
          </w:p>
        </w:tc>
        <w:tc>
          <w:tcPr>
            <w:tcW w:w="992"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24</w:t>
            </w:r>
          </w:p>
        </w:tc>
        <w:tc>
          <w:tcPr>
            <w:tcW w:w="851"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8</w:t>
            </w:r>
          </w:p>
        </w:tc>
        <w:tc>
          <w:tcPr>
            <w:tcW w:w="992" w:type="dxa"/>
            <w:tcBorders>
              <w:top w:val="single" w:color="auto" w:sz="6" w:space="0"/>
              <w:left w:val="single" w:color="auto" w:sz="6" w:space="0"/>
              <w:right w:val="single" w:color="auto" w:sz="4" w:space="0"/>
            </w:tcBorders>
            <w:vAlign w:val="center"/>
          </w:tcPr>
          <w:p>
            <w:pPr>
              <w:jc w:val="center"/>
              <w:rPr>
                <w:rFonts w:ascii="宋体" w:hAnsi="宋体" w:cs="宋体"/>
                <w:kern w:val="0"/>
                <w:sz w:val="20"/>
                <w:szCs w:val="20"/>
                <w:lang w:bidi="ar"/>
              </w:rPr>
            </w:pPr>
            <w:r>
              <w:rPr>
                <w:rFonts w:hint="eastAsia"/>
                <w:color w:val="000000"/>
                <w:sz w:val="20"/>
                <w:szCs w:val="20"/>
              </w:rPr>
              <w:t xml:space="preserve"> </w:t>
            </w: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2*16</w:t>
            </w: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2505"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cs="宋体"/>
                <w:color w:val="000000"/>
                <w:sz w:val="20"/>
                <w:szCs w:val="20"/>
              </w:rPr>
              <w:t>商品学概论</w:t>
            </w:r>
          </w:p>
        </w:tc>
        <w:tc>
          <w:tcPr>
            <w:tcW w:w="1644"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ascii="宋体" w:hAnsi="宋体" w:cs="宋体"/>
                <w:color w:val="000000"/>
                <w:sz w:val="20"/>
                <w:szCs w:val="20"/>
              </w:rPr>
              <w:t>LMT304</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sz w:val="18"/>
                <w:szCs w:val="18"/>
              </w:rPr>
              <w:t>2</w:t>
            </w: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32</w:t>
            </w:r>
          </w:p>
        </w:tc>
        <w:tc>
          <w:tcPr>
            <w:tcW w:w="992"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26</w:t>
            </w:r>
          </w:p>
        </w:tc>
        <w:tc>
          <w:tcPr>
            <w:tcW w:w="851"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6</w:t>
            </w:r>
          </w:p>
        </w:tc>
        <w:tc>
          <w:tcPr>
            <w:tcW w:w="992" w:type="dxa"/>
            <w:tcBorders>
              <w:top w:val="single" w:color="auto" w:sz="6" w:space="0"/>
              <w:left w:val="single" w:color="auto" w:sz="6" w:space="0"/>
              <w:right w:val="single" w:color="auto" w:sz="4" w:space="0"/>
            </w:tcBorders>
            <w:vAlign w:val="center"/>
          </w:tcPr>
          <w:p>
            <w:pPr>
              <w:jc w:val="center"/>
              <w:rPr>
                <w:rFonts w:ascii="宋体" w:hAnsi="宋体" w:cs="宋体"/>
                <w:kern w:val="0"/>
                <w:sz w:val="20"/>
                <w:szCs w:val="20"/>
                <w:lang w:bidi="ar"/>
              </w:rPr>
            </w:pPr>
            <w:r>
              <w:rPr>
                <w:rFonts w:hint="eastAsia"/>
                <w:color w:val="000000"/>
                <w:sz w:val="20"/>
                <w:szCs w:val="20"/>
              </w:rPr>
              <w:t xml:space="preserve"> </w:t>
            </w: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2*16</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2505"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color w:val="000000"/>
                <w:sz w:val="20"/>
                <w:szCs w:val="20"/>
              </w:rPr>
              <w:t>公共关系实务</w:t>
            </w:r>
          </w:p>
        </w:tc>
        <w:tc>
          <w:tcPr>
            <w:tcW w:w="1644"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LMT305</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sz w:val="18"/>
                <w:szCs w:val="18"/>
              </w:rPr>
              <w:t>2</w:t>
            </w: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color w:val="000000"/>
                <w:sz w:val="20"/>
                <w:szCs w:val="20"/>
              </w:rPr>
              <w:t>32</w:t>
            </w:r>
          </w:p>
        </w:tc>
        <w:tc>
          <w:tcPr>
            <w:tcW w:w="992"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color w:val="000000"/>
                <w:sz w:val="20"/>
                <w:szCs w:val="20"/>
              </w:rPr>
              <w:t>26</w:t>
            </w:r>
          </w:p>
        </w:tc>
        <w:tc>
          <w:tcPr>
            <w:tcW w:w="851"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color w:val="000000"/>
                <w:sz w:val="20"/>
                <w:szCs w:val="20"/>
              </w:rPr>
              <w:t>6</w:t>
            </w:r>
          </w:p>
        </w:tc>
        <w:tc>
          <w:tcPr>
            <w:tcW w:w="992" w:type="dxa"/>
            <w:tcBorders>
              <w:top w:val="single" w:color="auto" w:sz="6" w:space="0"/>
              <w:left w:val="single" w:color="auto" w:sz="6" w:space="0"/>
              <w:right w:val="single" w:color="auto" w:sz="4" w:space="0"/>
            </w:tcBorders>
            <w:vAlign w:val="center"/>
          </w:tcPr>
          <w:p>
            <w:pPr>
              <w:jc w:val="center"/>
              <w:rPr>
                <w:rFonts w:ascii="宋体" w:hAnsi="宋体" w:cs="宋体"/>
                <w:kern w:val="0"/>
                <w:sz w:val="20"/>
                <w:szCs w:val="20"/>
                <w:lang w:bidi="ar"/>
              </w:rPr>
            </w:pPr>
            <w:r>
              <w:rPr>
                <w:rFonts w:hint="eastAsia"/>
                <w:color w:val="000000"/>
                <w:sz w:val="20"/>
                <w:szCs w:val="20"/>
              </w:rPr>
              <w:t xml:space="preserve"> </w:t>
            </w: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2*16</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5</w:t>
            </w:r>
          </w:p>
        </w:tc>
        <w:tc>
          <w:tcPr>
            <w:tcW w:w="2505"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sz w:val="18"/>
                <w:szCs w:val="18"/>
              </w:rPr>
              <w:t>港口物流</w:t>
            </w:r>
          </w:p>
        </w:tc>
        <w:tc>
          <w:tcPr>
            <w:tcW w:w="1644"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LMT405</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sz w:val="18"/>
                <w:szCs w:val="18"/>
              </w:rPr>
              <w:t>2</w:t>
            </w: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48</w:t>
            </w:r>
          </w:p>
        </w:tc>
        <w:tc>
          <w:tcPr>
            <w:tcW w:w="992"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44</w:t>
            </w:r>
          </w:p>
        </w:tc>
        <w:tc>
          <w:tcPr>
            <w:tcW w:w="851"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4</w:t>
            </w:r>
          </w:p>
        </w:tc>
        <w:tc>
          <w:tcPr>
            <w:tcW w:w="992" w:type="dxa"/>
            <w:tcBorders>
              <w:top w:val="single" w:color="auto" w:sz="6" w:space="0"/>
              <w:left w:val="single" w:color="auto" w:sz="6" w:space="0"/>
              <w:right w:val="single" w:color="auto" w:sz="4" w:space="0"/>
            </w:tcBorders>
            <w:vAlign w:val="center"/>
          </w:tcPr>
          <w:p>
            <w:pPr>
              <w:jc w:val="center"/>
              <w:rPr>
                <w:rFonts w:ascii="宋体" w:hAnsi="宋体" w:cs="宋体"/>
                <w:kern w:val="0"/>
                <w:sz w:val="20"/>
                <w:szCs w:val="20"/>
                <w:lang w:bidi="ar"/>
              </w:rPr>
            </w:pPr>
            <w:r>
              <w:rPr>
                <w:rFonts w:hint="eastAsia"/>
                <w:color w:val="000000"/>
                <w:sz w:val="20"/>
                <w:szCs w:val="20"/>
              </w:rPr>
              <w:t xml:space="preserve"> </w:t>
            </w: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3*16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6</w:t>
            </w:r>
          </w:p>
        </w:tc>
        <w:tc>
          <w:tcPr>
            <w:tcW w:w="2505"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sz w:val="18"/>
                <w:szCs w:val="18"/>
              </w:rPr>
              <w:t>电子商务</w:t>
            </w:r>
          </w:p>
        </w:tc>
        <w:tc>
          <w:tcPr>
            <w:tcW w:w="1644"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LMT406</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sz w:val="18"/>
                <w:szCs w:val="18"/>
              </w:rPr>
              <w:t>2</w:t>
            </w: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48</w:t>
            </w:r>
          </w:p>
        </w:tc>
        <w:tc>
          <w:tcPr>
            <w:tcW w:w="992"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36</w:t>
            </w:r>
          </w:p>
        </w:tc>
        <w:tc>
          <w:tcPr>
            <w:tcW w:w="851"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12</w:t>
            </w:r>
          </w:p>
        </w:tc>
        <w:tc>
          <w:tcPr>
            <w:tcW w:w="992" w:type="dxa"/>
            <w:tcBorders>
              <w:top w:val="single" w:color="auto" w:sz="6" w:space="0"/>
              <w:left w:val="single" w:color="auto" w:sz="6" w:space="0"/>
              <w:right w:val="single" w:color="auto" w:sz="4" w:space="0"/>
            </w:tcBorders>
            <w:vAlign w:val="center"/>
          </w:tcPr>
          <w:p>
            <w:pPr>
              <w:jc w:val="center"/>
              <w:rPr>
                <w:rFonts w:ascii="宋体" w:hAnsi="宋体" w:cs="宋体"/>
                <w:kern w:val="0"/>
                <w:sz w:val="20"/>
                <w:szCs w:val="20"/>
                <w:lang w:bidi="ar"/>
              </w:rPr>
            </w:pPr>
            <w:r>
              <w:rPr>
                <w:rFonts w:hint="eastAsia"/>
                <w:color w:val="000000"/>
                <w:sz w:val="20"/>
                <w:szCs w:val="20"/>
              </w:rPr>
              <w:t xml:space="preserve"> </w:t>
            </w: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3*16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3"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7</w:t>
            </w:r>
          </w:p>
        </w:tc>
        <w:tc>
          <w:tcPr>
            <w:tcW w:w="2505"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color w:val="000000"/>
                <w:sz w:val="20"/>
                <w:szCs w:val="20"/>
              </w:rPr>
              <w:t>国际贸易实务</w:t>
            </w:r>
          </w:p>
        </w:tc>
        <w:tc>
          <w:tcPr>
            <w:tcW w:w="1644"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LMT504</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sz w:val="18"/>
                <w:szCs w:val="18"/>
              </w:rPr>
              <w:t>3</w:t>
            </w: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48</w:t>
            </w:r>
          </w:p>
        </w:tc>
        <w:tc>
          <w:tcPr>
            <w:tcW w:w="992"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48</w:t>
            </w:r>
          </w:p>
        </w:tc>
        <w:tc>
          <w:tcPr>
            <w:tcW w:w="851"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p>
        </w:tc>
        <w:tc>
          <w:tcPr>
            <w:tcW w:w="992" w:type="dxa"/>
            <w:tcBorders>
              <w:top w:val="single" w:color="auto" w:sz="6" w:space="0"/>
              <w:left w:val="single" w:color="auto" w:sz="6" w:space="0"/>
              <w:right w:val="single" w:color="auto" w:sz="4" w:space="0"/>
            </w:tcBorders>
            <w:vAlign w:val="center"/>
          </w:tcPr>
          <w:p>
            <w:pPr>
              <w:jc w:val="center"/>
              <w:rPr>
                <w:rFonts w:ascii="宋体" w:hAnsi="宋体" w:cs="宋体"/>
                <w:kern w:val="0"/>
                <w:sz w:val="20"/>
                <w:szCs w:val="20"/>
                <w:lang w:bidi="ar"/>
              </w:rPr>
            </w:pPr>
            <w:r>
              <w:rPr>
                <w:rFonts w:hint="eastAsia"/>
                <w:color w:val="000000"/>
                <w:sz w:val="20"/>
                <w:szCs w:val="20"/>
              </w:rPr>
              <w:t xml:space="preserve"> </w:t>
            </w: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cs="宋体"/>
                <w:kern w:val="0"/>
                <w:sz w:val="20"/>
                <w:szCs w:val="20"/>
                <w:lang w:bidi="ar"/>
              </w:rPr>
            </w:pPr>
            <w:r>
              <w:rPr>
                <w:rFonts w:hint="eastAsia" w:ascii="宋体" w:hAnsi="宋体"/>
                <w:color w:val="000000" w:themeColor="text1"/>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3*16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3" w:type="dxa"/>
            <w:vMerge w:val="restart"/>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8</w:t>
            </w:r>
          </w:p>
        </w:tc>
        <w:tc>
          <w:tcPr>
            <w:tcW w:w="2505" w:type="dxa"/>
            <w:tcBorders>
              <w:top w:val="single" w:color="auto" w:sz="6" w:space="0"/>
              <w:left w:val="single" w:color="auto" w:sz="4" w:space="0"/>
              <w:right w:val="single" w:color="auto" w:sz="6" w:space="0"/>
            </w:tcBorders>
            <w:vAlign w:val="center"/>
          </w:tcPr>
          <w:p>
            <w:pPr>
              <w:jc w:val="center"/>
              <w:rPr>
                <w:color w:val="000000"/>
                <w:sz w:val="20"/>
                <w:szCs w:val="20"/>
              </w:rPr>
            </w:pPr>
            <w:r>
              <w:rPr>
                <w:rFonts w:hint="eastAsia"/>
                <w:color w:val="000000"/>
                <w:sz w:val="20"/>
                <w:szCs w:val="20"/>
              </w:rPr>
              <w:t>物流英语</w:t>
            </w:r>
          </w:p>
        </w:tc>
        <w:tc>
          <w:tcPr>
            <w:tcW w:w="1644" w:type="dxa"/>
            <w:tcBorders>
              <w:top w:val="single" w:color="auto" w:sz="6" w:space="0"/>
              <w:left w:val="single" w:color="auto" w:sz="6" w:space="0"/>
              <w:right w:val="single" w:color="auto" w:sz="6" w:space="0"/>
            </w:tcBorders>
            <w:vAlign w:val="center"/>
          </w:tcPr>
          <w:p>
            <w:pPr>
              <w:jc w:val="center"/>
              <w:rPr>
                <w:color w:val="000000"/>
                <w:sz w:val="20"/>
                <w:szCs w:val="20"/>
              </w:rPr>
            </w:pPr>
            <w:r>
              <w:rPr>
                <w:rFonts w:hint="eastAsia"/>
                <w:color w:val="000000"/>
                <w:sz w:val="20"/>
                <w:szCs w:val="20"/>
              </w:rPr>
              <w:t>LMT505</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sz w:val="18"/>
                <w:szCs w:val="18"/>
              </w:rPr>
              <w:t>3</w:t>
            </w: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48</w:t>
            </w:r>
          </w:p>
        </w:tc>
        <w:tc>
          <w:tcPr>
            <w:tcW w:w="992"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r>
              <w:rPr>
                <w:rFonts w:hint="eastAsia"/>
                <w:color w:val="000000"/>
                <w:sz w:val="20"/>
                <w:szCs w:val="20"/>
              </w:rPr>
              <w:t>48</w:t>
            </w:r>
          </w:p>
        </w:tc>
        <w:tc>
          <w:tcPr>
            <w:tcW w:w="851"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p>
        </w:tc>
        <w:tc>
          <w:tcPr>
            <w:tcW w:w="992" w:type="dxa"/>
            <w:tcBorders>
              <w:top w:val="single" w:color="auto" w:sz="6" w:space="0"/>
              <w:left w:val="single" w:color="auto" w:sz="6" w:space="0"/>
              <w:right w:val="single" w:color="auto" w:sz="4" w:space="0"/>
            </w:tcBorders>
            <w:vAlign w:val="center"/>
          </w:tcPr>
          <w:p>
            <w:pPr>
              <w:jc w:val="center"/>
              <w:rPr>
                <w:rFonts w:ascii="宋体" w:hAnsi="宋体" w:cs="宋体"/>
                <w:kern w:val="0"/>
                <w:sz w:val="20"/>
                <w:szCs w:val="20"/>
                <w:lang w:bidi="ar"/>
              </w:rPr>
            </w:pPr>
            <w:r>
              <w:rPr>
                <w:rFonts w:hint="eastAsia"/>
                <w:color w:val="000000"/>
                <w:sz w:val="20"/>
                <w:szCs w:val="20"/>
              </w:rPr>
              <w:t xml:space="preserve"> </w:t>
            </w: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cs="宋体"/>
                <w:kern w:val="0"/>
                <w:sz w:val="20"/>
                <w:szCs w:val="20"/>
                <w:lang w:bidi="ar"/>
              </w:rPr>
            </w:pPr>
            <w:r>
              <w:rPr>
                <w:rFonts w:hint="eastAsia" w:ascii="宋体" w:hAnsi="宋体"/>
                <w:color w:val="000000" w:themeColor="text1"/>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eastAsia="宋体" w:cs="宋体"/>
                <w:color w:val="000000"/>
                <w:kern w:val="0"/>
                <w:sz w:val="22"/>
                <w:lang w:bidi="ar"/>
              </w:rPr>
              <w:t>3*16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9</w:t>
            </w:r>
          </w:p>
        </w:tc>
        <w:tc>
          <w:tcPr>
            <w:tcW w:w="2505" w:type="dxa"/>
            <w:tcBorders>
              <w:top w:val="single" w:color="auto" w:sz="6" w:space="0"/>
              <w:left w:val="single" w:color="auto" w:sz="4" w:space="0"/>
              <w:right w:val="single" w:color="auto" w:sz="6" w:space="0"/>
            </w:tcBorders>
            <w:vAlign w:val="center"/>
          </w:tcPr>
          <w:p>
            <w:pPr>
              <w:jc w:val="center"/>
              <w:rPr>
                <w:color w:val="000000"/>
                <w:sz w:val="20"/>
                <w:szCs w:val="20"/>
              </w:rPr>
            </w:pPr>
            <w:r>
              <w:rPr>
                <w:rFonts w:hint="eastAsia"/>
                <w:color w:val="000000"/>
                <w:sz w:val="20"/>
                <w:szCs w:val="20"/>
              </w:rPr>
              <w:t>企业文化</w:t>
            </w:r>
          </w:p>
        </w:tc>
        <w:tc>
          <w:tcPr>
            <w:tcW w:w="1644" w:type="dxa"/>
            <w:tcBorders>
              <w:top w:val="single" w:color="auto" w:sz="6" w:space="0"/>
              <w:left w:val="single" w:color="auto" w:sz="6" w:space="0"/>
              <w:right w:val="single" w:color="auto" w:sz="6" w:space="0"/>
            </w:tcBorders>
            <w:vAlign w:val="center"/>
          </w:tcPr>
          <w:p>
            <w:pPr>
              <w:jc w:val="center"/>
              <w:rPr>
                <w:color w:val="000000"/>
                <w:sz w:val="20"/>
                <w:szCs w:val="20"/>
              </w:rPr>
            </w:pPr>
            <w:r>
              <w:rPr>
                <w:rFonts w:hint="eastAsia"/>
                <w:color w:val="000000"/>
                <w:sz w:val="20"/>
                <w:szCs w:val="20"/>
              </w:rPr>
              <w:t>LMT503</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jc w:val="center"/>
              <w:rPr>
                <w:sz w:val="18"/>
                <w:szCs w:val="18"/>
              </w:rPr>
            </w:pPr>
            <w:r>
              <w:rPr>
                <w:rFonts w:hint="eastAsia"/>
                <w:sz w:val="18"/>
                <w:szCs w:val="18"/>
              </w:rPr>
              <w:t>2</w:t>
            </w:r>
          </w:p>
        </w:tc>
        <w:tc>
          <w:tcPr>
            <w:tcW w:w="567" w:type="dxa"/>
            <w:tcBorders>
              <w:top w:val="single" w:color="auto" w:sz="6" w:space="0"/>
              <w:left w:val="single" w:color="auto" w:sz="6" w:space="0"/>
              <w:right w:val="single" w:color="auto" w:sz="6" w:space="0"/>
            </w:tcBorders>
            <w:vAlign w:val="center"/>
          </w:tcPr>
          <w:p>
            <w:pPr>
              <w:jc w:val="center"/>
              <w:rPr>
                <w:color w:val="000000"/>
                <w:sz w:val="20"/>
                <w:szCs w:val="20"/>
              </w:rPr>
            </w:pPr>
            <w:r>
              <w:rPr>
                <w:rFonts w:hint="eastAsia"/>
                <w:color w:val="000000"/>
                <w:sz w:val="20"/>
                <w:szCs w:val="20"/>
              </w:rPr>
              <w:t>32</w:t>
            </w:r>
          </w:p>
        </w:tc>
        <w:tc>
          <w:tcPr>
            <w:tcW w:w="992" w:type="dxa"/>
            <w:tcBorders>
              <w:top w:val="single" w:color="auto" w:sz="6" w:space="0"/>
              <w:left w:val="single" w:color="auto" w:sz="6" w:space="0"/>
              <w:right w:val="single" w:color="auto" w:sz="6" w:space="0"/>
            </w:tcBorders>
            <w:vAlign w:val="center"/>
          </w:tcPr>
          <w:p>
            <w:pPr>
              <w:jc w:val="center"/>
              <w:rPr>
                <w:color w:val="000000"/>
                <w:sz w:val="20"/>
                <w:szCs w:val="20"/>
              </w:rPr>
            </w:pPr>
            <w:r>
              <w:rPr>
                <w:rFonts w:hint="eastAsia"/>
                <w:color w:val="000000"/>
                <w:sz w:val="20"/>
                <w:szCs w:val="20"/>
              </w:rPr>
              <w:t>32</w:t>
            </w:r>
          </w:p>
        </w:tc>
        <w:tc>
          <w:tcPr>
            <w:tcW w:w="851"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lang w:bidi="ar"/>
              </w:rPr>
            </w:pPr>
          </w:p>
        </w:tc>
        <w:tc>
          <w:tcPr>
            <w:tcW w:w="992" w:type="dxa"/>
            <w:tcBorders>
              <w:top w:val="single" w:color="auto" w:sz="6" w:space="0"/>
              <w:left w:val="single" w:color="auto" w:sz="6" w:space="0"/>
              <w:right w:val="single" w:color="auto" w:sz="4" w:space="0"/>
            </w:tcBorders>
            <w:vAlign w:val="center"/>
          </w:tcPr>
          <w:p>
            <w:pPr>
              <w:jc w:val="center"/>
              <w:rPr>
                <w:color w:val="000000"/>
                <w:sz w:val="20"/>
                <w:szCs w:val="20"/>
              </w:rPr>
            </w:pPr>
            <w:r>
              <w:rPr>
                <w:rFonts w:hint="eastAsia"/>
                <w:color w:val="000000"/>
                <w:sz w:val="20"/>
                <w:szCs w:val="20"/>
              </w:rPr>
              <w:t xml:space="preserve"> </w:t>
            </w: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考查</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3"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rPr>
              <w:t>1</w:t>
            </w:r>
            <w:r>
              <w:rPr>
                <w:rFonts w:hint="eastAsia" w:ascii="宋体" w:hAnsi="宋体"/>
                <w:sz w:val="20"/>
                <w:szCs w:val="20"/>
                <w:lang w:val="en-US" w:eastAsia="zh-CN"/>
              </w:rPr>
              <w:t>0</w:t>
            </w:r>
          </w:p>
        </w:tc>
        <w:tc>
          <w:tcPr>
            <w:tcW w:w="2505" w:type="dxa"/>
            <w:tcBorders>
              <w:top w:val="single" w:color="auto" w:sz="6" w:space="0"/>
              <w:left w:val="single" w:color="auto" w:sz="4" w:space="0"/>
              <w:right w:val="single" w:color="auto" w:sz="6" w:space="0"/>
            </w:tcBorders>
            <w:vAlign w:val="center"/>
          </w:tcPr>
          <w:p>
            <w:pPr>
              <w:widowControl/>
              <w:jc w:val="center"/>
              <w:textAlignment w:val="center"/>
              <w:rPr>
                <w:rFonts w:hint="eastAsia"/>
                <w:color w:val="000000"/>
                <w:sz w:val="20"/>
                <w:szCs w:val="20"/>
              </w:rPr>
            </w:pPr>
            <w:r>
              <w:rPr>
                <w:rFonts w:ascii="宋体" w:hAnsi="宋体" w:cs="宋体"/>
                <w:color w:val="000000" w:themeColor="text1"/>
                <w:kern w:val="0"/>
                <w:sz w:val="20"/>
                <w:szCs w:val="20"/>
                <w:lang w:bidi="ar"/>
              </w:rPr>
              <w:t xml:space="preserve">Managing Agile Organisations and People (MAOP)(L5) </w:t>
            </w:r>
          </w:p>
        </w:tc>
        <w:tc>
          <w:tcPr>
            <w:tcW w:w="1644" w:type="dxa"/>
            <w:tcBorders>
              <w:top w:val="single" w:color="auto" w:sz="6" w:space="0"/>
              <w:left w:val="single" w:color="auto" w:sz="6" w:space="0"/>
              <w:right w:val="single" w:color="auto" w:sz="6" w:space="0"/>
            </w:tcBorders>
            <w:vAlign w:val="center"/>
          </w:tcPr>
          <w:p>
            <w:pPr>
              <w:widowControl/>
              <w:jc w:val="center"/>
              <w:textAlignment w:val="center"/>
              <w:rPr>
                <w:rFonts w:hint="eastAsia"/>
                <w:color w:val="000000"/>
                <w:sz w:val="20"/>
                <w:szCs w:val="20"/>
              </w:rPr>
            </w:pPr>
            <w:r>
              <w:rPr>
                <w:rFonts w:ascii="宋体" w:hAnsi="宋体" w:cs="宋体"/>
                <w:color w:val="000000" w:themeColor="text1"/>
                <w:kern w:val="0"/>
                <w:sz w:val="20"/>
                <w:szCs w:val="20"/>
                <w:lang w:bidi="ar"/>
              </w:rPr>
              <w:t>ABE 412</w:t>
            </w:r>
          </w:p>
        </w:tc>
        <w:tc>
          <w:tcPr>
            <w:tcW w:w="42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hint="eastAsia"/>
                <w:sz w:val="18"/>
                <w:szCs w:val="18"/>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hint="eastAsia"/>
                <w:color w:val="000000"/>
                <w:sz w:val="20"/>
                <w:szCs w:val="20"/>
              </w:rPr>
            </w:pPr>
            <w:r>
              <w:rPr>
                <w:rFonts w:hint="eastAsia" w:ascii="宋体" w:hAnsi="宋体" w:cs="宋体"/>
                <w:color w:val="000000" w:themeColor="text1"/>
                <w:kern w:val="0"/>
                <w:sz w:val="20"/>
                <w:szCs w:val="20"/>
                <w:lang w:bidi="ar"/>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hint="eastAsia"/>
                <w:color w:val="000000"/>
                <w:sz w:val="20"/>
                <w:szCs w:val="20"/>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hint="eastAsia"/>
                <w:color w:val="00000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hint="eastAsia"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3"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8"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60" w:type="dxa"/>
            <w:tcBorders>
              <w:top w:val="single" w:color="auto" w:sz="6" w:space="0"/>
              <w:left w:val="single" w:color="auto" w:sz="6" w:space="0"/>
              <w:right w:val="single" w:color="auto" w:sz="4"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rPr>
              <w:t>1</w:t>
            </w:r>
            <w:r>
              <w:rPr>
                <w:rFonts w:hint="eastAsia" w:ascii="宋体" w:hAnsi="宋体"/>
                <w:sz w:val="20"/>
                <w:szCs w:val="20"/>
                <w:lang w:val="en-US" w:eastAsia="zh-CN"/>
              </w:rPr>
              <w:t>1</w:t>
            </w:r>
          </w:p>
        </w:tc>
        <w:tc>
          <w:tcPr>
            <w:tcW w:w="2505" w:type="dxa"/>
            <w:tcBorders>
              <w:top w:val="single" w:color="auto" w:sz="6" w:space="0"/>
              <w:left w:val="single" w:color="auto" w:sz="4" w:space="0"/>
              <w:right w:val="single" w:color="auto" w:sz="6" w:space="0"/>
            </w:tcBorders>
            <w:vAlign w:val="center"/>
          </w:tcPr>
          <w:p>
            <w:pPr>
              <w:widowControl/>
              <w:jc w:val="center"/>
              <w:textAlignment w:val="center"/>
              <w:rPr>
                <w:rFonts w:hint="eastAsia"/>
                <w:color w:val="000000"/>
                <w:sz w:val="20"/>
                <w:szCs w:val="20"/>
              </w:rPr>
            </w:pPr>
            <w:r>
              <w:rPr>
                <w:rFonts w:ascii="宋体" w:hAnsi="宋体" w:cs="宋体"/>
                <w:color w:val="000000" w:themeColor="text1"/>
                <w:kern w:val="0"/>
                <w:sz w:val="20"/>
                <w:szCs w:val="20"/>
                <w:lang w:bidi="ar"/>
              </w:rPr>
              <w:t>Strategic Marketing (SM)(L6)</w:t>
            </w:r>
          </w:p>
        </w:tc>
        <w:tc>
          <w:tcPr>
            <w:tcW w:w="1644" w:type="dxa"/>
            <w:tcBorders>
              <w:top w:val="single" w:color="auto" w:sz="6" w:space="0"/>
              <w:left w:val="single" w:color="auto" w:sz="6" w:space="0"/>
              <w:right w:val="single" w:color="auto" w:sz="6" w:space="0"/>
            </w:tcBorders>
            <w:vAlign w:val="center"/>
          </w:tcPr>
          <w:p>
            <w:pPr>
              <w:widowControl/>
              <w:jc w:val="center"/>
              <w:textAlignment w:val="center"/>
              <w:rPr>
                <w:rFonts w:hint="eastAsia"/>
                <w:color w:val="000000"/>
                <w:sz w:val="20"/>
                <w:szCs w:val="20"/>
              </w:rPr>
            </w:pPr>
            <w:r>
              <w:rPr>
                <w:rFonts w:ascii="宋体" w:hAnsi="宋体" w:cs="宋体"/>
                <w:color w:val="000000" w:themeColor="text1"/>
                <w:kern w:val="0"/>
                <w:sz w:val="20"/>
                <w:szCs w:val="20"/>
                <w:lang w:bidi="ar"/>
              </w:rPr>
              <w:t>ABE 412</w:t>
            </w:r>
          </w:p>
        </w:tc>
        <w:tc>
          <w:tcPr>
            <w:tcW w:w="425" w:type="dxa"/>
            <w:tcBorders>
              <w:top w:val="single" w:color="auto" w:sz="6" w:space="0"/>
              <w:left w:val="single" w:color="auto" w:sz="6" w:space="0"/>
              <w:right w:val="single" w:color="auto" w:sz="6" w:space="0"/>
            </w:tcBorders>
            <w:vAlign w:val="top"/>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hint="eastAsia"/>
                <w:sz w:val="18"/>
                <w:szCs w:val="18"/>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hint="eastAsia"/>
                <w:color w:val="000000"/>
                <w:sz w:val="20"/>
                <w:szCs w:val="20"/>
              </w:rPr>
            </w:pPr>
            <w:r>
              <w:rPr>
                <w:rFonts w:hint="eastAsia" w:ascii="宋体" w:hAnsi="宋体" w:cs="宋体"/>
                <w:color w:val="000000" w:themeColor="text1"/>
                <w:kern w:val="0"/>
                <w:sz w:val="20"/>
                <w:szCs w:val="20"/>
                <w:lang w:bidi="ar"/>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hint="eastAsia"/>
                <w:color w:val="000000"/>
                <w:sz w:val="20"/>
                <w:szCs w:val="20"/>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hint="eastAsia"/>
                <w:color w:val="00000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hint="eastAsia"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9" w:hRule="exact"/>
          <w:jc w:val="center"/>
        </w:trPr>
        <w:tc>
          <w:tcPr>
            <w:tcW w:w="523" w:type="dxa"/>
            <w:tcBorders>
              <w:top w:val="nil"/>
              <w:left w:val="single" w:color="auto" w:sz="12" w:space="0"/>
              <w:bottom w:val="nil"/>
              <w:right w:val="single" w:color="auto" w:sz="6" w:space="0"/>
            </w:tcBorders>
            <w:vAlign w:val="center"/>
          </w:tcPr>
          <w:p>
            <w:pPr>
              <w:widowControl/>
              <w:jc w:val="left"/>
              <w:rPr>
                <w:rFonts w:ascii="宋体" w:hAnsi="宋体"/>
                <w:sz w:val="20"/>
                <w:szCs w:val="20"/>
              </w:rPr>
            </w:pPr>
          </w:p>
        </w:tc>
        <w:tc>
          <w:tcPr>
            <w:tcW w:w="359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FF0000"/>
                <w:sz w:val="20"/>
                <w:szCs w:val="20"/>
              </w:rPr>
            </w:pPr>
            <w:r>
              <w:rPr>
                <w:rFonts w:hint="eastAsia" w:ascii="宋体" w:hAnsi="宋体"/>
                <w:color w:val="000000" w:themeColor="text1"/>
                <w:sz w:val="20"/>
                <w:szCs w:val="20"/>
              </w:rPr>
              <w:t>小计：（总学时比例</w:t>
            </w:r>
            <w:r>
              <w:rPr>
                <w:rFonts w:hint="eastAsia" w:ascii="宋体" w:hAnsi="宋体"/>
                <w:color w:val="000000" w:themeColor="text1"/>
                <w:sz w:val="20"/>
                <w:szCs w:val="20"/>
                <w:lang w:val="en-US" w:eastAsia="zh-CN"/>
              </w:rPr>
              <w:t>10</w:t>
            </w:r>
            <w:r>
              <w:rPr>
                <w:rFonts w:ascii="宋体" w:hAnsi="宋体"/>
                <w:color w:val="000000" w:themeColor="text1"/>
                <w:sz w:val="20"/>
                <w:szCs w:val="20"/>
              </w:rPr>
              <w:t>%</w:t>
            </w:r>
            <w:r>
              <w:rPr>
                <w:rFonts w:hint="eastAsia" w:ascii="宋体" w:hAnsi="宋体"/>
                <w:color w:val="000000" w:themeColor="text1"/>
                <w:sz w:val="20"/>
                <w:szCs w:val="20"/>
              </w:rPr>
              <w:t>）</w:t>
            </w:r>
          </w:p>
        </w:tc>
        <w:tc>
          <w:tcPr>
            <w:tcW w:w="16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18</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336</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296</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40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9" w:hRule="exact"/>
          <w:jc w:val="center"/>
        </w:trPr>
        <w:tc>
          <w:tcPr>
            <w:tcW w:w="523" w:type="dxa"/>
            <w:tcBorders>
              <w:top w:val="nil"/>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37"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sz w:val="20"/>
                <w:szCs w:val="20"/>
              </w:rPr>
              <w:t>合计</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 xml:space="preserve"> </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rPr>
              <w:t xml:space="preserve"> </w:t>
            </w:r>
            <w:r>
              <w:rPr>
                <w:rFonts w:hint="eastAsia" w:ascii="宋体" w:hAnsi="宋体"/>
                <w:sz w:val="20"/>
                <w:szCs w:val="20"/>
                <w:lang w:val="en-US" w:eastAsia="zh-CN"/>
              </w:rPr>
              <w:t>3360</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1658</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982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720</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bl>
    <w:p>
      <w:pPr>
        <w:widowControl/>
        <w:spacing w:line="360" w:lineRule="auto"/>
        <w:jc w:val="left"/>
        <w:rPr>
          <w:szCs w:val="21"/>
        </w:rPr>
      </w:pPr>
      <w:r>
        <w:rPr>
          <w:szCs w:val="21"/>
        </w:rPr>
        <w:t>注：</w:t>
      </w:r>
      <w:r>
        <w:rPr>
          <w:rFonts w:hint="eastAsia"/>
          <w:szCs w:val="21"/>
        </w:rPr>
        <w:t>1、</w:t>
      </w:r>
      <w:r>
        <w:rPr>
          <w:szCs w:val="21"/>
        </w:rPr>
        <w:t>核心课程，在对应位置标</w:t>
      </w:r>
      <w:r>
        <w:rPr>
          <w:rFonts w:hint="eastAsia"/>
          <w:szCs w:val="21"/>
        </w:rPr>
        <w:t>“*”；</w:t>
      </w:r>
    </w:p>
    <w:p>
      <w:pPr>
        <w:spacing w:line="360" w:lineRule="auto"/>
        <w:ind w:firstLine="420" w:firstLineChars="200"/>
        <w:rPr>
          <w:szCs w:val="21"/>
        </w:rPr>
      </w:pPr>
      <w:r>
        <w:rPr>
          <w:rFonts w:hint="eastAsia"/>
          <w:szCs w:val="21"/>
        </w:rPr>
        <w:t>2、等级英语，根据学生测试成绩划分班级，分层次教学，学够个层次即可；</w:t>
      </w:r>
    </w:p>
    <w:p>
      <w:pPr>
        <w:spacing w:line="360" w:lineRule="auto"/>
        <w:ind w:firstLine="420" w:firstLineChars="200"/>
        <w:rPr>
          <w:szCs w:val="21"/>
        </w:rPr>
      </w:pPr>
      <w:r>
        <w:rPr>
          <w:rFonts w:hint="eastAsia"/>
          <w:szCs w:val="21"/>
        </w:rPr>
        <w:t>3、公共选修课，最少要修1分；</w:t>
      </w:r>
      <w:bookmarkStart w:id="0" w:name="_GoBack"/>
      <w:bookmarkEnd w:id="0"/>
    </w:p>
    <w:p>
      <w:pPr>
        <w:spacing w:line="360" w:lineRule="auto"/>
        <w:ind w:firstLine="420" w:firstLineChars="200"/>
        <w:rPr>
          <w:rFonts w:ascii="仿宋_GB2312" w:hAnsi="Times New Roman" w:eastAsia="仿宋_GB2312" w:cs="Times New Roman"/>
          <w:bCs/>
          <w:color w:val="FF0000"/>
          <w:sz w:val="24"/>
          <w:szCs w:val="24"/>
        </w:rPr>
        <w:sectPr>
          <w:pgSz w:w="16838" w:h="11906" w:orient="landscape"/>
          <w:pgMar w:top="1418" w:right="1418" w:bottom="1418" w:left="1418" w:header="851" w:footer="992" w:gutter="0"/>
          <w:cols w:space="720" w:num="1"/>
          <w:docGrid w:linePitch="312" w:charSpace="0"/>
        </w:sectPr>
      </w:pPr>
      <w:r>
        <w:rPr>
          <w:rFonts w:hint="eastAsia"/>
          <w:szCs w:val="21"/>
        </w:rPr>
        <w:t>4、专业选修课程，最少要修够</w:t>
      </w:r>
      <w:r>
        <w:rPr>
          <w:rFonts w:hint="eastAsia"/>
          <w:szCs w:val="21"/>
          <w:lang w:val="en-US" w:eastAsia="zh-CN"/>
        </w:rPr>
        <w:t>18</w:t>
      </w:r>
      <w:r>
        <w:rPr>
          <w:rFonts w:hint="eastAsia"/>
          <w:szCs w:val="21"/>
        </w:rPr>
        <w:t>分。</w:t>
      </w:r>
    </w:p>
    <w:p>
      <w:pPr>
        <w:spacing w:line="360" w:lineRule="auto"/>
        <w:ind w:firstLine="480"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Cs/>
          <w:color w:val="FF0000"/>
          <w:sz w:val="24"/>
          <w:szCs w:val="24"/>
        </w:rPr>
        <w:t xml:space="preserve"> </w:t>
      </w:r>
      <w:r>
        <w:rPr>
          <w:rFonts w:hint="eastAsia" w:ascii="仿宋_GB2312" w:hAnsi="Times New Roman" w:eastAsia="仿宋_GB2312" w:cs="Times New Roman"/>
          <w:b/>
          <w:sz w:val="24"/>
          <w:szCs w:val="24"/>
        </w:rPr>
        <w:t>（二）学期周数分配表</w:t>
      </w:r>
    </w:p>
    <w:tbl>
      <w:tblPr>
        <w:tblStyle w:val="26"/>
        <w:tblW w:w="765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561"/>
        <w:gridCol w:w="686"/>
        <w:gridCol w:w="846"/>
        <w:gridCol w:w="561"/>
        <w:gridCol w:w="561"/>
        <w:gridCol w:w="562"/>
        <w:gridCol w:w="562"/>
        <w:gridCol w:w="562"/>
        <w:gridCol w:w="562"/>
        <w:gridCol w:w="562"/>
        <w:gridCol w:w="562"/>
        <w:gridCol w:w="50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1384" w:hRule="atLeast"/>
          <w:jc w:val="center"/>
        </w:trPr>
        <w:tc>
          <w:tcPr>
            <w:tcW w:w="561" w:type="dxa"/>
            <w:tcBorders>
              <w:top w:val="single" w:color="000000" w:sz="12" w:space="0"/>
              <w:left w:val="single" w:color="000000" w:sz="12"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学    期</w:t>
            </w:r>
          </w:p>
        </w:tc>
        <w:tc>
          <w:tcPr>
            <w:tcW w:w="561"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教学周数</w:t>
            </w:r>
          </w:p>
        </w:tc>
        <w:tc>
          <w:tcPr>
            <w:tcW w:w="68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理论教学周</w:t>
            </w:r>
          </w:p>
        </w:tc>
        <w:tc>
          <w:tcPr>
            <w:tcW w:w="84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军    训</w:t>
            </w:r>
          </w:p>
          <w:p>
            <w:pPr>
              <w:spacing w:line="360" w:lineRule="auto"/>
              <w:jc w:val="center"/>
              <w:rPr>
                <w:rFonts w:ascii="宋体" w:hAnsi="宋体" w:cs="宋体"/>
                <w:bCs/>
                <w:sz w:val="20"/>
                <w:szCs w:val="21"/>
              </w:rPr>
            </w:pPr>
            <w:r>
              <w:rPr>
                <w:rFonts w:ascii="宋体" w:hAnsi="宋体" w:cs="宋体"/>
                <w:bCs/>
                <w:sz w:val="20"/>
                <w:szCs w:val="21"/>
              </w:rPr>
              <w:t>入学教育暨</w:t>
            </w:r>
          </w:p>
        </w:tc>
        <w:tc>
          <w:tcPr>
            <w:tcW w:w="561" w:type="dxa"/>
            <w:tcBorders>
              <w:top w:val="single" w:color="000000" w:sz="12" w:space="0"/>
              <w:left w:val="single" w:color="000000" w:sz="6" w:space="0"/>
              <w:bottom w:val="single" w:color="000000" w:sz="6" w:space="0"/>
              <w:right w:val="single" w:color="auto" w:sz="4"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认识实习</w:t>
            </w:r>
          </w:p>
        </w:tc>
        <w:tc>
          <w:tcPr>
            <w:tcW w:w="561" w:type="dxa"/>
            <w:tcBorders>
              <w:top w:val="single" w:color="000000" w:sz="12" w:space="0"/>
              <w:left w:val="single" w:color="auto" w:sz="4"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施工实习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工种实习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综合实习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毕业设计</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顶岗实习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毕业教育</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复习考试</w:t>
            </w:r>
          </w:p>
        </w:tc>
        <w:tc>
          <w:tcPr>
            <w:tcW w:w="506" w:type="dxa"/>
            <w:tcBorders>
              <w:top w:val="single" w:color="000000" w:sz="12" w:space="0"/>
              <w:left w:val="single" w:color="000000" w:sz="6" w:space="0"/>
              <w:bottom w:val="single" w:color="000000" w:sz="6" w:space="0"/>
              <w:right w:val="single" w:color="000000" w:sz="12"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机动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434"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一</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hint="eastAsia"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846" w:type="dxa"/>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ascii="宋体" w:hAnsi="宋体"/>
                <w:color w:val="000000" w:themeColor="text1"/>
                <w:sz w:val="20"/>
                <w:szCs w:val="20"/>
              </w:rPr>
            </w:pPr>
            <w:r>
              <w:rPr>
                <w:rFonts w:ascii="宋体" w:hAnsi="宋体"/>
                <w:color w:val="000000" w:themeColor="text1"/>
                <w:sz w:val="20"/>
                <w:szCs w:val="20"/>
              </w:rPr>
              <w:t>2</w:t>
            </w: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w:t>
            </w:r>
          </w:p>
        </w:tc>
        <w:tc>
          <w:tcPr>
            <w:tcW w:w="506"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二</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1</w:t>
            </w:r>
            <w:r>
              <w:rPr>
                <w:rFonts w:hint="eastAsia" w:ascii="宋体" w:hAnsi="宋体"/>
                <w:color w:val="000000" w:themeColor="text1"/>
                <w:sz w:val="20"/>
                <w:szCs w:val="20"/>
              </w:rPr>
              <w:t>6</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c>
          <w:tcPr>
            <w:tcW w:w="506"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90"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三</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c>
          <w:tcPr>
            <w:tcW w:w="506"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四</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c>
          <w:tcPr>
            <w:tcW w:w="506"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五</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c>
          <w:tcPr>
            <w:tcW w:w="506"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六</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r>
              <w:rPr>
                <w:rFonts w:ascii="宋体" w:hAnsi="宋体"/>
                <w:color w:val="000000" w:themeColor="text1"/>
                <w:sz w:val="20"/>
                <w:szCs w:val="20"/>
              </w:rPr>
              <w:t>18</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2</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themeColor="text1"/>
                <w:sz w:val="20"/>
                <w:szCs w:val="20"/>
              </w:rPr>
            </w:pPr>
          </w:p>
        </w:tc>
        <w:tc>
          <w:tcPr>
            <w:tcW w:w="506"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color w:val="000000" w:themeColor="text1"/>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1" w:hRule="atLeast"/>
          <w:jc w:val="center"/>
        </w:trPr>
        <w:tc>
          <w:tcPr>
            <w:tcW w:w="561" w:type="dxa"/>
            <w:tcBorders>
              <w:top w:val="single" w:color="000000" w:sz="6" w:space="0"/>
              <w:left w:val="single" w:color="000000" w:sz="12"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总计</w:t>
            </w:r>
          </w:p>
        </w:tc>
        <w:tc>
          <w:tcPr>
            <w:tcW w:w="561"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120</w:t>
            </w:r>
          </w:p>
        </w:tc>
        <w:tc>
          <w:tcPr>
            <w:tcW w:w="68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ascii="宋体" w:hAnsi="宋体"/>
                <w:color w:val="000000" w:themeColor="text1"/>
                <w:sz w:val="20"/>
                <w:szCs w:val="20"/>
              </w:rPr>
              <w:t>8</w:t>
            </w:r>
            <w:r>
              <w:rPr>
                <w:rFonts w:hint="eastAsia" w:ascii="宋体" w:hAnsi="宋体"/>
                <w:color w:val="000000" w:themeColor="text1"/>
                <w:sz w:val="20"/>
                <w:szCs w:val="20"/>
              </w:rPr>
              <w:t>0</w:t>
            </w:r>
          </w:p>
        </w:tc>
        <w:tc>
          <w:tcPr>
            <w:tcW w:w="84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ascii="宋体" w:hAnsi="宋体"/>
                <w:color w:val="000000" w:themeColor="text1"/>
                <w:sz w:val="20"/>
                <w:szCs w:val="20"/>
              </w:rPr>
              <w:fldChar w:fldCharType="begin"/>
            </w:r>
            <w:r>
              <w:rPr>
                <w:rFonts w:ascii="宋体" w:hAnsi="宋体"/>
                <w:color w:val="000000" w:themeColor="text1"/>
                <w:sz w:val="20"/>
                <w:szCs w:val="20"/>
              </w:rPr>
              <w:instrText xml:space="preserve"> =SUM(above) </w:instrText>
            </w:r>
            <w:r>
              <w:rPr>
                <w:rFonts w:ascii="宋体" w:hAnsi="宋体"/>
                <w:color w:val="000000" w:themeColor="text1"/>
                <w:sz w:val="20"/>
                <w:szCs w:val="20"/>
              </w:rPr>
              <w:fldChar w:fldCharType="separate"/>
            </w:r>
            <w:r>
              <w:rPr>
                <w:rFonts w:ascii="宋体" w:hAnsi="宋体"/>
                <w:color w:val="000000" w:themeColor="text1"/>
                <w:sz w:val="20"/>
                <w:szCs w:val="20"/>
              </w:rPr>
              <w:t>2</w:t>
            </w:r>
            <w:r>
              <w:rPr>
                <w:rFonts w:ascii="宋体" w:hAnsi="宋体"/>
                <w:color w:val="000000" w:themeColor="text1"/>
                <w:sz w:val="20"/>
                <w:szCs w:val="20"/>
              </w:rPr>
              <w:fldChar w:fldCharType="end"/>
            </w:r>
          </w:p>
        </w:tc>
        <w:tc>
          <w:tcPr>
            <w:tcW w:w="561" w:type="dxa"/>
            <w:tcBorders>
              <w:top w:val="single" w:color="000000" w:sz="6" w:space="0"/>
              <w:left w:val="single" w:color="000000" w:sz="6" w:space="0"/>
              <w:bottom w:val="single" w:color="000000" w:sz="12" w:space="0"/>
              <w:right w:val="single" w:color="auto" w:sz="4" w:space="0"/>
            </w:tcBorders>
            <w:vAlign w:val="center"/>
          </w:tcPr>
          <w:p>
            <w:pPr>
              <w:spacing w:line="360" w:lineRule="auto"/>
              <w:jc w:val="center"/>
              <w:rPr>
                <w:rFonts w:ascii="宋体" w:hAnsi="宋体"/>
                <w:color w:val="000000" w:themeColor="text1"/>
                <w:sz w:val="20"/>
                <w:szCs w:val="20"/>
              </w:rPr>
            </w:pPr>
          </w:p>
        </w:tc>
        <w:tc>
          <w:tcPr>
            <w:tcW w:w="561" w:type="dxa"/>
            <w:tcBorders>
              <w:top w:val="single" w:color="000000" w:sz="6" w:space="0"/>
              <w:left w:val="single" w:color="auto" w:sz="4"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rPr>
                <w:rFonts w:ascii="宋体" w:hAnsi="宋体"/>
                <w:color w:val="000000" w:themeColor="text1"/>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ascii="宋体" w:hAnsi="宋体"/>
                <w:color w:val="000000" w:themeColor="text1"/>
                <w:sz w:val="20"/>
                <w:szCs w:val="20"/>
              </w:rPr>
              <w:fldChar w:fldCharType="begin"/>
            </w:r>
            <w:r>
              <w:rPr>
                <w:rFonts w:ascii="宋体" w:hAnsi="宋体"/>
                <w:color w:val="000000" w:themeColor="text1"/>
                <w:sz w:val="20"/>
                <w:szCs w:val="20"/>
              </w:rPr>
              <w:instrText xml:space="preserve"> =SUM(ABOVE) </w:instrText>
            </w:r>
            <w:r>
              <w:rPr>
                <w:rFonts w:ascii="宋体" w:hAnsi="宋体"/>
                <w:color w:val="000000" w:themeColor="text1"/>
                <w:sz w:val="20"/>
                <w:szCs w:val="20"/>
              </w:rPr>
              <w:fldChar w:fldCharType="separate"/>
            </w:r>
            <w:r>
              <w:rPr>
                <w:rFonts w:ascii="宋体" w:hAnsi="宋体"/>
                <w:color w:val="000000" w:themeColor="text1"/>
                <w:sz w:val="20"/>
                <w:szCs w:val="20"/>
              </w:rPr>
              <w:t>18</w:t>
            </w:r>
            <w:r>
              <w:rPr>
                <w:rFonts w:ascii="宋体" w:hAnsi="宋体"/>
                <w:color w:val="000000" w:themeColor="text1"/>
                <w:sz w:val="20"/>
                <w:szCs w:val="20"/>
              </w:rPr>
              <w:fldChar w:fldCharType="end"/>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2</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9</w:t>
            </w:r>
          </w:p>
        </w:tc>
        <w:tc>
          <w:tcPr>
            <w:tcW w:w="506" w:type="dxa"/>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9</w:t>
            </w:r>
          </w:p>
        </w:tc>
      </w:tr>
    </w:tbl>
    <w:p>
      <w:pPr>
        <w:spacing w:line="360" w:lineRule="auto"/>
        <w:ind w:firstLine="480" w:firstLineChars="200"/>
        <w:rPr>
          <w:rFonts w:ascii="仿宋_GB2312" w:hAnsi="Times New Roman" w:eastAsia="仿宋_GB2312" w:cs="Times New Roman"/>
          <w:bCs/>
          <w:sz w:val="24"/>
          <w:szCs w:val="24"/>
        </w:rPr>
      </w:pP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Cs/>
          <w:color w:val="FF0000"/>
          <w:sz w:val="24"/>
          <w:szCs w:val="24"/>
        </w:rPr>
        <w:t xml:space="preserve"> </w:t>
      </w:r>
    </w:p>
    <w:p>
      <w:pPr>
        <w:spacing w:line="360" w:lineRule="auto"/>
        <w:ind w:firstLine="560" w:firstLineChars="200"/>
        <w:rPr>
          <w:rFonts w:ascii="仿宋_GB2312" w:hAnsi="Times New Roman" w:eastAsia="仿宋_GB2312" w:cs="Times New Roman"/>
          <w:bCs/>
          <w:color w:val="FF0000"/>
          <w:sz w:val="24"/>
          <w:szCs w:val="24"/>
        </w:rPr>
      </w:pPr>
      <w:r>
        <w:rPr>
          <w:rFonts w:hint="eastAsia" w:ascii="Times New Roman" w:hAnsi="Times New Roman" w:eastAsia="黑体" w:cs="Times New Roman"/>
          <w:bCs/>
          <w:sz w:val="28"/>
          <w:szCs w:val="28"/>
        </w:rPr>
        <w:t>八、实施保障</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（一）师资队伍</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1.队伍结构</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学生数与本专业教师数比例、双师素质教师占专业教师比例符合国家规定比例要求。专任教师在职称、年龄、学历等形成合理的梯队结构。</w:t>
      </w:r>
    </w:p>
    <w:p>
      <w:pPr>
        <w:numPr>
          <w:ilvl w:val="0"/>
          <w:numId w:val="7"/>
        </w:num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专任教师</w:t>
      </w:r>
    </w:p>
    <w:p>
      <w:pPr>
        <w:spacing w:line="360" w:lineRule="auto"/>
        <w:ind w:firstLine="48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专任教师具有高校教师资格证；有理想信念、道德情操、有扎实学识、有仁爱之心；具有物流管理、物流工程等相关专业本科及以上学历；具有扎实的本专业相关理论功底和实践能力；具有较强信息化教学能力，能开展课程教学改革和科学研究；组织和安排教师到企业进行实践锻炼。</w:t>
      </w:r>
    </w:p>
    <w:p>
      <w:pPr>
        <w:numPr>
          <w:ilvl w:val="0"/>
          <w:numId w:val="7"/>
        </w:num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专业带头人</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 xml:space="preserve"> 专业带头人原则上应具有副高及以上的职称，能够较好地把握国内外物流管理行业、专业发展，能够广泛联系行业企业，了解行业对于本专业人才的实际需求，教学设计、专业研究能力强，组织开展科研工作能力强，在本区域或本领域具有一定的专业影响力。</w:t>
      </w:r>
    </w:p>
    <w:p>
      <w:pPr>
        <w:numPr>
          <w:ilvl w:val="0"/>
          <w:numId w:val="7"/>
        </w:num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兼职教师</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兼职教师主要从本专业相关行业企业聘任，具有良好的思想政治素养、职业道德和工匠精神，具有扎实的专业知识和丰富的实际工作经验，具有中级及以上相关的专业职称，能承担专业课程教学、实习实训指导和学生发展规划指导等教学任务。</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（二）教学设施</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教学设施主要包括能够满足正常的课程教学、实习实训所需的专业教室、校内实训室和校外实训基地等。</w:t>
      </w:r>
    </w:p>
    <w:p>
      <w:pPr>
        <w:numPr>
          <w:ilvl w:val="0"/>
          <w:numId w:val="8"/>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专业教室的基本条件</w:t>
      </w:r>
    </w:p>
    <w:p>
      <w:pPr>
        <w:spacing w:line="360" w:lineRule="auto"/>
        <w:ind w:firstLine="48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专业教室一般配备黑（白）板、多媒体计算机、投影设备、音响设备、互联网介入或WI-FI环境，并实施网络安全防护措施；安装应急照明装置并保持良好状态，符合紧急疏散要求，标志明显，保持逃生梯通道畅通无阻。</w:t>
      </w:r>
    </w:p>
    <w:p>
      <w:pPr>
        <w:numPr>
          <w:ilvl w:val="0"/>
          <w:numId w:val="8"/>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校内实训室的基本要求</w:t>
      </w:r>
    </w:p>
    <w:p>
      <w:pPr>
        <w:numPr>
          <w:ilvl w:val="0"/>
          <w:numId w:val="9"/>
        </w:numPr>
        <w:spacing w:line="360" w:lineRule="auto"/>
        <w:ind w:left="420" w:left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仓储实训室</w:t>
      </w:r>
    </w:p>
    <w:p>
      <w:pPr>
        <w:spacing w:line="360" w:lineRule="auto"/>
        <w:ind w:firstLine="48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仓储实训室配备货架、电动叉车、托盘、周转箱、手动托盘车、手续终端、一维或而二维条码扫描器、条码打印机、WMS（仓储管理系统）、DPS（电子标签拣选系统）、理货台、手动打包机、包装箱等；支持物流管理、仓储与配送管理、物流信息管理、物流设备等课程的教学与实训。</w:t>
      </w:r>
    </w:p>
    <w:p>
      <w:pPr>
        <w:numPr>
          <w:ilvl w:val="0"/>
          <w:numId w:val="9"/>
        </w:numPr>
        <w:spacing w:line="360" w:lineRule="auto"/>
        <w:ind w:left="420" w:left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运输实训室</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运输实训室配备模拟厢式货车、模拟货物、托盘、仓储笼、集装袋、集装箱、折板箱、运输管理软件、GIS的运输优化模拟软件、升降平台、RFID、GPS、重型货架等，支持物流管理、运输管理、物流信息管理、采购与供应链管理、物流设施设备等课程的教学实训。</w:t>
      </w:r>
    </w:p>
    <w:p>
      <w:pPr>
        <w:numPr>
          <w:ilvl w:val="0"/>
          <w:numId w:val="9"/>
        </w:numPr>
        <w:spacing w:line="360" w:lineRule="auto"/>
        <w:ind w:left="420" w:left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配送实训室</w:t>
      </w:r>
    </w:p>
    <w:p>
      <w:pPr>
        <w:spacing w:line="360" w:lineRule="auto"/>
        <w:ind w:firstLine="48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仓储实训室配备货架、电动叉车、托盘、周转箱、手动托盘车、手续终端、一维或而二维条码扫描器、条码打印机、WMS（仓储管理系统）、DPS（电子标签拣选系统）、理货台、手动打包机、包装箱等；支持物流管理、仓储与配送管理、物流信息管理、物流设备等课程的教学与实训。</w:t>
      </w:r>
    </w:p>
    <w:p>
      <w:pPr>
        <w:numPr>
          <w:ilvl w:val="0"/>
          <w:numId w:val="9"/>
        </w:numPr>
        <w:spacing w:line="360" w:lineRule="auto"/>
        <w:ind w:left="420" w:left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包装实训室</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 xml:space="preserve"> 包装实训室营配备台秤、手动打包机、半自动打包机、电动打包机、手提式打包机、免扣打包机、全自动打包机、运输车、手动打包钳钢带打包机、卡钳、全自动缠绕磨机、复核包装台、周转箱、真空打包机等；支持物流管理、仓储与配送管理、运输管理、物流信息管理、采购与供应链管理、物流设施设备等课程用途实训。</w:t>
      </w:r>
    </w:p>
    <w:p>
      <w:pPr>
        <w:numPr>
          <w:ilvl w:val="0"/>
          <w:numId w:val="9"/>
        </w:numPr>
        <w:spacing w:line="360" w:lineRule="auto"/>
        <w:ind w:left="420" w:left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物流软件实训室</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物流软件实训室应配备投影仪、中控式融合信息终端、融合平台软件、融合系统服务器、物流仿真系统、第三方物流管理模拟系统、智能仓储管理系统、职能配送管理系统、智能运输管理系统、供应链管理与优化软件、物流营销软件、电脑及皮套桌椅等；支持物流管理、仓储与配送管理、运输管理、物流信息管理、采购与供应链管理、物流营销、物流成本管理等的教学与实训。</w:t>
      </w:r>
    </w:p>
    <w:p>
      <w:pPr>
        <w:numPr>
          <w:ilvl w:val="0"/>
          <w:numId w:val="9"/>
        </w:numPr>
        <w:spacing w:line="360" w:lineRule="auto"/>
        <w:ind w:left="420" w:left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生产物流实训室</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生产物流实训室营配备物流沙盘、手持终端、RFID终端、RFID续写设备、智能生产管理系统、ERP、上下循环组装生产线、链板式生产线、生产线控制柜、生产线监控系统、采购与供应链管理、物流营销、物流成本管理课程的教学与实训。</w:t>
      </w:r>
    </w:p>
    <w:p>
      <w:pPr>
        <w:numPr>
          <w:ilvl w:val="0"/>
          <w:numId w:val="8"/>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校外实训的基本要求</w:t>
      </w:r>
    </w:p>
    <w:p>
      <w:pPr>
        <w:spacing w:line="360" w:lineRule="auto"/>
        <w:ind w:left="420" w:leftChars="200" w:firstLine="48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校外实训的基本要求为：建立具有稳定的校外实训基地；能够开展仓储服务、物流营销、运输配送、物流营运管理等实训活动。实训设备集全，师资队伍力量强大。</w:t>
      </w:r>
    </w:p>
    <w:p>
      <w:pPr>
        <w:numPr>
          <w:ilvl w:val="0"/>
          <w:numId w:val="8"/>
        </w:num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实习实训基地的基本要求</w:t>
      </w:r>
    </w:p>
    <w:p>
      <w:pPr>
        <w:spacing w:line="360" w:lineRule="auto"/>
        <w:ind w:left="420" w:leftChars="200"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实习实训的基本要求：具有稳定的校外实训基地；能够开展仓储服务、物流运营、物流运输管理、物流配送管理以及物流客户的服务管理等实训活动。能够具备有一定数量的指导老师指导学生顺利完成实训内容，保证实习生日常的工作量，也能够提升学生的办事与思考的能能力。</w:t>
      </w:r>
    </w:p>
    <w:p>
      <w:pPr>
        <w:spacing w:line="360" w:lineRule="auto"/>
        <w:ind w:left="420" w:leftChars="200"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5.支持信息化教学的基本要求</w:t>
      </w:r>
    </w:p>
    <w:p>
      <w:pPr>
        <w:spacing w:line="360" w:lineRule="auto"/>
        <w:ind w:left="420" w:left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 xml:space="preserve">    具有利用数字化教学资源库、文件搜索、文件资料、常见问题解答等信息化条件，鼓励优秀教师开发信息化软件，指导学生熟悉并掌握信息化软件的利用。 </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（三）教学资源</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 xml:space="preserve"> 教学资料主要包括能够满足学生专业学习，教师专业教学研究和教学实施所需的教材，图书文献及数字教学资源</w:t>
      </w:r>
    </w:p>
    <w:p>
      <w:pPr>
        <w:numPr>
          <w:ilvl w:val="0"/>
          <w:numId w:val="10"/>
        </w:num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教材选用基本标准</w:t>
      </w:r>
    </w:p>
    <w:p>
      <w:pPr>
        <w:spacing w:line="360" w:lineRule="auto"/>
        <w:ind w:firstLine="48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按照国家规定选用优质教材，禁止不合格的教材进入课堂。学校建设实施队伍，专家队伍、完善教材，以适应不同人群的学生使用。教材的选用标准要符合国家“十三五”规划教材。</w:t>
      </w:r>
    </w:p>
    <w:p>
      <w:pPr>
        <w:numPr>
          <w:ilvl w:val="0"/>
          <w:numId w:val="10"/>
        </w:num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图书文献配备的基本要求</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 xml:space="preserve"> 图书文献配备能满足人才培养、专业建设、教科研等工作的需求，方便师生查询、借阅。专业类图书文献主要包括:有关物流行业各类国家标准，现代物流管理技术、方法、思维及实务操作类图书，经济、管理、营销、信息技术和文化类文献等</w:t>
      </w:r>
    </w:p>
    <w:p>
      <w:pPr>
        <w:numPr>
          <w:ilvl w:val="0"/>
          <w:numId w:val="10"/>
        </w:num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教学数字资源配置基本要求</w:t>
      </w:r>
    </w:p>
    <w:p>
      <w:pPr>
        <w:spacing w:line="360" w:lineRule="auto"/>
        <w:ind w:left="420" w:leftChars="200"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建设、配备与本专业的有关的音视频素材、教学课件、数字化教学案例库、虚拟仿真软件、数字教材等专业教学资源库，应种类丰富、形式多变、使用便捷、动态更新、能满足教学要求。</w:t>
      </w:r>
    </w:p>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（四）教学方法</w:t>
      </w:r>
    </w:p>
    <w:p>
      <w:pPr>
        <w:spacing w:line="360" w:lineRule="auto"/>
        <w:ind w:firstLine="720" w:firstLineChars="300"/>
        <w:rPr>
          <w:rFonts w:ascii="仿宋_GB2312" w:hAnsi="仿宋_GB2312" w:eastAsia="仿宋_GB2312" w:cs="仿宋_GB2312"/>
          <w:b/>
          <w:sz w:val="24"/>
          <w:szCs w:val="24"/>
        </w:rPr>
      </w:pPr>
      <w:r>
        <w:rPr>
          <w:rFonts w:hint="eastAsia" w:ascii="仿宋_GB2312" w:hAnsi="仿宋_GB2312" w:eastAsia="仿宋_GB2312" w:cs="仿宋_GB2312"/>
          <w:color w:val="0E4A79"/>
          <w:sz w:val="24"/>
          <w:szCs w:val="24"/>
        </w:rPr>
        <w:t>1.</w:t>
      </w:r>
      <w:r>
        <w:rPr>
          <w:rFonts w:hint="eastAsia" w:ascii="仿宋_GB2312" w:hAnsi="仿宋_GB2312" w:eastAsia="仿宋_GB2312" w:cs="仿宋_GB2312"/>
          <w:sz w:val="24"/>
          <w:szCs w:val="24"/>
        </w:rPr>
        <w:t>讲授法</w:t>
      </w:r>
    </w:p>
    <w:p>
      <w:pPr>
        <w:spacing w:line="360" w:lineRule="auto"/>
        <w:ind w:firstLine="352" w:firstLineChars="147"/>
        <w:rPr>
          <w:rFonts w:ascii="仿宋_GB2312" w:hAnsi="仿宋_GB2312" w:eastAsia="仿宋_GB2312" w:cs="仿宋_GB2312"/>
          <w:b/>
          <w:sz w:val="24"/>
          <w:szCs w:val="24"/>
        </w:rPr>
      </w:pPr>
      <w:r>
        <w:rPr>
          <w:rFonts w:hint="eastAsia" w:ascii="仿宋_GB2312" w:hAnsi="仿宋_GB2312" w:eastAsia="仿宋_GB2312" w:cs="仿宋_GB2312"/>
          <w:sz w:val="24"/>
          <w:szCs w:val="24"/>
        </w:rPr>
        <w:t>讲授法是教师通过简明、生动的口头语言向学生传授知识、发展学生智力的方法。它是通过叙述、描绘、解释、推论来传递信息、传授知识、阐明概念、论证定律和公式，引导学生分析和认识问题。运用讲授法的基本要求是：</w:t>
      </w:r>
    </w:p>
    <w:p>
      <w:pPr>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（1）讲授既要重视内容的科学性和思想性，同时又要应尽可能的与学生的认知基础发生联系。</w:t>
      </w:r>
    </w:p>
    <w:p>
      <w:pPr>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（2）讲授应注意培养学生的学科思维。</w:t>
      </w:r>
    </w:p>
    <w:p>
      <w:pPr>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（3）讲授应具有启发性。</w:t>
      </w:r>
    </w:p>
    <w:p>
      <w:pPr>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（4）讲授要讲究语言艺术。语言要生动形象、富有感染力，清晰、准确、简练，条理清楚、通俗易懂，尽可能音量、语速要适度，语调要抑扬顿挫，适应学生的心理节奏。</w:t>
      </w:r>
    </w:p>
    <w:p>
      <w:pPr>
        <w:spacing w:line="360" w:lineRule="auto"/>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讲授法的优点是教师容易控制教学进程，能够使学生在较短时间内获得大量系统的科学知识。但如果运用不好，学生学习的主动性、积极性不易发挥，就会出现教师满堂灌、学生被动听的局面。</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2.讨论法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教师的指导下，学生以全班或小组为单位，围绕教材的中心问题，各抒己见，通过讨论或辩论活动，获得知识或巩固知识的一种教学方法。优点在于，由于全体学生都参加活动，可以培养合作精神，激发学生的学习兴趣，提高学生学习的独立性。一般在高年级学生或成人教学中采用。运用讨论法的基本要求是：</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（1）讨论的问题要具有吸引力。讨论前教师应提出讨论题和讨论的具体要求，指导学生收集阅读有关资料或进行调查研究，认真写好发言提纲。</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（2）讨论时，要善于启发引导学生自由发表意见。讨论要围绕中心，联系实际，让每个学生都有发言机会。</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（3）讨论结束时，教师应进行小结，概括讨论的情况，使学生获得正确的观点和系统的知识.。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3.直观演示法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演示法是教师在课堂上通过展示各种实物、直观教具或进行示范性实验，让学生通过观察获得感性认识的教学方法。是一种辅助性教学方法，要和讲授法、谈话法等教学方法结合使用。运用演示法的基本要求是：</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4.练习法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练习法是学生在教师的指导下巩固知识、运用知识、形成技能技巧的方法。在教学中，练习法被各科教学广泛采用。练习一般可分为以下几种：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（1）语言的练习。包括口头语言和书面语言的练习，旨在培养学生的表达能力。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（2）解答问题的练习。包括口头和书面解答问题的练习，旨在培养学生运用知识解决问题的能力。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（3）实际操作的练习。旨在形成操作技能，在技术性学科中占重要地位。</w:t>
      </w:r>
    </w:p>
    <w:p>
      <w:pPr>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5.读书指导法</w:t>
      </w:r>
    </w:p>
    <w:p>
      <w:pPr>
        <w:spacing w:line="360" w:lineRule="auto"/>
        <w:ind w:firstLine="480" w:firstLineChars="200"/>
        <w:rPr>
          <w:rFonts w:ascii="仿宋_GB2312" w:hAnsi="Times New Roman" w:eastAsia="仿宋_GB2312" w:cs="Times New Roman"/>
          <w:bCs/>
          <w:iCs/>
          <w:color w:val="FF0000"/>
          <w:sz w:val="24"/>
          <w:szCs w:val="24"/>
        </w:rPr>
      </w:pPr>
      <w:r>
        <w:rPr>
          <w:rFonts w:hint="eastAsia" w:ascii="仿宋_GB2312" w:hAnsi="仿宋_GB2312" w:eastAsia="仿宋_GB2312" w:cs="仿宋_GB2312"/>
          <w:sz w:val="24"/>
          <w:szCs w:val="24"/>
        </w:rPr>
        <w:t>读书指导法是教师指导学生通过阅读教科书或参考书，以获得知识、巩固知识、培养学生自学能力的一种方法。</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（五）教学评价</w:t>
      </w:r>
    </w:p>
    <w:p>
      <w:pPr>
        <w:spacing w:line="360" w:lineRule="auto"/>
        <w:ind w:firstLine="472" w:firstLineChars="196"/>
        <w:rPr>
          <w:rFonts w:ascii="仿宋_GB2312" w:hAnsi="仿宋_GB2312" w:eastAsia="仿宋_GB2312" w:cs="仿宋_GB2312"/>
          <w:b/>
          <w:sz w:val="24"/>
        </w:rPr>
      </w:pPr>
      <w:r>
        <w:rPr>
          <w:rFonts w:hint="eastAsia" w:ascii="仿宋_GB2312" w:hAnsi="仿宋_GB2312" w:eastAsia="仿宋_GB2312" w:cs="仿宋_GB2312"/>
          <w:b/>
          <w:sz w:val="24"/>
        </w:rPr>
        <w:t>1.理论课程考核方法</w:t>
      </w:r>
    </w:p>
    <w:p>
      <w:pPr>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理论课程的考核倾向在传统的笔试的基础之上制定多样性、针对性、生动性的方式。采取笔试、小论文、参加社会实践与社会调查的形式；同时结合过程考核的方法，教师建立考核表，在教学活动中观察和记录学生学习和日常行为表现，通过面谈、作业、项目训练，书面报告的方式综合考查和评价学生，根据本专业的特点，辅以“课业+活动”、“课业+案例分析”、“课业+口试”的方式。课程考核成绩由多种考核形式的成绩构成，包括期末考试成绩、平时作业成绩与课堂讨论、作业完成情况。</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2.实践课程考核方法</w:t>
      </w:r>
    </w:p>
    <w:p>
      <w:pPr>
        <w:spacing w:line="360" w:lineRule="auto"/>
        <w:ind w:firstLine="475" w:firstLineChars="198"/>
        <w:rPr>
          <w:rFonts w:ascii="仿宋_GB2312" w:hAnsi="仿宋_GB2312" w:eastAsia="仿宋_GB2312" w:cs="仿宋_GB2312"/>
          <w:b/>
          <w:sz w:val="24"/>
        </w:rPr>
      </w:pPr>
      <w:r>
        <w:rPr>
          <w:rFonts w:hint="eastAsia" w:ascii="仿宋_GB2312" w:hAnsi="仿宋_GB2312" w:eastAsia="仿宋_GB2312" w:cs="仿宋_GB2312"/>
          <w:sz w:val="24"/>
        </w:rPr>
        <w:t>实践课程包括课内实践、上机操作、方案设计、社会调查等多种课程，应当采取形成性考核与总结性考核相结合。</w:t>
      </w:r>
    </w:p>
    <w:p>
      <w:pPr>
        <w:spacing w:line="360" w:lineRule="auto"/>
        <w:ind w:firstLine="475" w:firstLineChars="198"/>
        <w:rPr>
          <w:rFonts w:ascii="仿宋_GB2312" w:hAnsi="仿宋_GB2312" w:eastAsia="仿宋_GB2312" w:cs="仿宋_GB2312"/>
          <w:b/>
          <w:sz w:val="24"/>
        </w:rPr>
      </w:pPr>
      <w:r>
        <w:rPr>
          <w:rFonts w:hint="eastAsia" w:ascii="仿宋_GB2312" w:hAnsi="仿宋_GB2312" w:eastAsia="仿宋_GB2312" w:cs="仿宋_GB2312"/>
          <w:sz w:val="24"/>
        </w:rPr>
        <w:t>形成性考核即对学生在实践教学过程中进行考核，学生毕业完成课程的全部实践项目，该实践课程的总成绩取决于各个实践项目的分数。</w:t>
      </w:r>
    </w:p>
    <w:p>
      <w:pPr>
        <w:spacing w:line="360" w:lineRule="auto"/>
        <w:ind w:firstLine="475" w:firstLineChars="198"/>
        <w:rPr>
          <w:rFonts w:ascii="仿宋_GB2312" w:hAnsi="仿宋_GB2312" w:eastAsia="仿宋_GB2312" w:cs="仿宋_GB2312"/>
          <w:b/>
          <w:sz w:val="24"/>
        </w:rPr>
      </w:pPr>
      <w:r>
        <w:rPr>
          <w:rFonts w:hint="eastAsia" w:ascii="仿宋_GB2312" w:hAnsi="仿宋_GB2312" w:eastAsia="仿宋_GB2312" w:cs="仿宋_GB2312"/>
          <w:sz w:val="24"/>
        </w:rPr>
        <w:t>总结性考核即对学生在课程结束时的考核，要求学生在统一的时间内完成实践考核项目。主要考核学生的职业技能实践能力。</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3.综合素质评价</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由学校相关管理部门根据学生在校的表现及社会社会实践活动的情况进行综合性评价。</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（六）质量管理</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 xml:space="preserve"> （1）学校和二级院系应建立专业建设和教学质量诊断与改进机制，健全专业教学质量监控管理制度，完善课堂教学、教学评价、实习实训、毕业设计以及专业调研、人才培养方案更新、资源建设等方面质量</w:t>
      </w:r>
      <w:r>
        <w:rPr>
          <w:rFonts w:hint="eastAsia" w:ascii="仿宋_GB2312" w:hAnsi="Times New Roman" w:eastAsia="仿宋_GB2312" w:cs="Times New Roman"/>
          <w:bCs/>
          <w:iCs/>
          <w:color w:val="FF0000"/>
          <w:sz w:val="24"/>
          <w:szCs w:val="24"/>
        </w:rPr>
        <w:t>变准</w:t>
      </w:r>
      <w:r>
        <w:rPr>
          <w:rFonts w:hint="eastAsia" w:ascii="仿宋_GB2312" w:hAnsi="Times New Roman" w:eastAsia="仿宋_GB2312" w:cs="Times New Roman"/>
          <w:bCs/>
          <w:iCs/>
          <w:color w:val="000000" w:themeColor="text1"/>
          <w:sz w:val="24"/>
          <w:szCs w:val="24"/>
        </w:rPr>
        <w:t>建设，通过教学实施、过程监控、质量评价和持续改进，达成人才培养规格。</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2）学校与二级学院系应完善教学管理体制，加强日常教学组织运行与管理，定期开展课程建设水平和教学质量诊断与改进，建立健全巡课、听课、评教、评学制度，建立与企业联动的实践环节督导制度，严明教学纪录，强化教学组织功能，定期开展公开课、示范课等教研活动。</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（3）学校应建立毕业生跟踪反馈机制及社会机制，并对生源情况、在校生学业水平，毕业生就业情况等进行分析，定期评价人才培养质量和培养目标达成情况。</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九、毕业要求</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（一）通过英语B级考试；</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（二）通过2门香港公开大学课程；</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（三）通过10门ABE校考；</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（四）修够130个学分。</w:t>
      </w:r>
    </w:p>
    <w:p>
      <w:pPr>
        <w:widowControl/>
        <w:spacing w:line="450" w:lineRule="atLeast"/>
        <w:ind w:firstLine="645"/>
        <w:jc w:val="left"/>
        <w:rPr>
          <w:rFonts w:ascii="Times New Roman" w:hAnsi="Times New Roman" w:eastAsia="黑体" w:cs="Times New Roman"/>
          <w:bCs/>
          <w:sz w:val="28"/>
          <w:szCs w:val="28"/>
        </w:rPr>
      </w:pPr>
      <w:r>
        <w:rPr>
          <w:rFonts w:hint="eastAsia" w:ascii="仿宋_GB2312" w:hAnsi="Times New Roman" w:eastAsia="仿宋_GB2312" w:cs="Times New Roman"/>
          <w:bCs/>
          <w:iCs/>
          <w:color w:val="FF0000"/>
          <w:sz w:val="24"/>
          <w:szCs w:val="24"/>
        </w:rPr>
        <w:t xml:space="preserve"> </w:t>
      </w:r>
      <w:r>
        <w:rPr>
          <w:rFonts w:hint="eastAsia" w:ascii="Times New Roman" w:hAnsi="Times New Roman" w:eastAsia="黑体" w:cs="Times New Roman"/>
          <w:bCs/>
          <w:sz w:val="28"/>
          <w:szCs w:val="28"/>
        </w:rPr>
        <w:t>十、附录</w:t>
      </w:r>
    </w:p>
    <w:p>
      <w:pPr>
        <w:spacing w:line="360" w:lineRule="auto"/>
        <w:ind w:firstLine="480" w:firstLineChars="200"/>
        <w:rPr>
          <w:rFonts w:ascii="仿宋_GB2312" w:hAnsi="Times New Roman" w:eastAsia="仿宋_GB2312" w:cs="Times New Roman"/>
          <w:bCs/>
          <w:iCs/>
          <w:color w:val="FF0000"/>
          <w:sz w:val="24"/>
          <w:szCs w:val="24"/>
        </w:rPr>
      </w:pPr>
      <w:r>
        <w:rPr>
          <w:rFonts w:hint="eastAsia" w:ascii="仿宋_GB2312" w:hAnsi="Times New Roman" w:eastAsia="仿宋_GB2312" w:cs="Times New Roman"/>
          <w:bCs/>
          <w:iCs/>
          <w:color w:val="FF0000"/>
          <w:sz w:val="24"/>
          <w:szCs w:val="24"/>
        </w:rPr>
        <w:t>一般包括教学进程安排表、审批表(放在最后一页)等。</w:t>
      </w:r>
    </w:p>
    <w:p>
      <w:pPr>
        <w:widowControl/>
        <w:spacing w:line="360" w:lineRule="auto"/>
        <w:jc w:val="left"/>
        <w:rPr>
          <w:b/>
          <w:bCs/>
          <w:szCs w:val="21"/>
        </w:rPr>
        <w:sectPr>
          <w:pgSz w:w="11906" w:h="16838"/>
          <w:pgMar w:top="1418" w:right="1418" w:bottom="1418" w:left="1418" w:header="851" w:footer="992" w:gutter="0"/>
          <w:cols w:space="720" w:num="1"/>
          <w:docGrid w:linePitch="312" w:charSpace="0"/>
        </w:sectPr>
      </w:pPr>
    </w:p>
    <w:p>
      <w:pPr>
        <w:jc w:val="center"/>
        <w:rPr>
          <w:b/>
          <w:sz w:val="36"/>
          <w:szCs w:val="36"/>
        </w:rPr>
      </w:pPr>
      <w:r>
        <w:rPr>
          <w:rFonts w:hint="eastAsia"/>
          <w:b/>
          <w:sz w:val="36"/>
          <w:szCs w:val="36"/>
        </w:rPr>
        <w:t>人才培养方案制订审批表</w:t>
      </w:r>
    </w:p>
    <w:p>
      <w:pPr>
        <w:rPr>
          <w:b/>
          <w:sz w:val="30"/>
          <w:szCs w:val="30"/>
        </w:rPr>
      </w:pPr>
      <w:r>
        <w:rPr>
          <w:rFonts w:hint="eastAsia"/>
          <w:b/>
          <w:sz w:val="30"/>
          <w:szCs w:val="30"/>
        </w:rPr>
        <w:t>分院（部）：</w:t>
      </w:r>
    </w:p>
    <w:tbl>
      <w:tblPr>
        <w:tblStyle w:val="26"/>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149"/>
        <w:gridCol w:w="136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年  级</w:t>
            </w:r>
          </w:p>
        </w:tc>
        <w:tc>
          <w:tcPr>
            <w:tcW w:w="314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专业名称</w:t>
            </w:r>
          </w:p>
        </w:tc>
        <w:tc>
          <w:tcPr>
            <w:tcW w:w="442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培养方案</w:t>
            </w:r>
          </w:p>
          <w:p>
            <w:pPr>
              <w:jc w:val="center"/>
              <w:rPr>
                <w:b/>
                <w:sz w:val="24"/>
                <w:szCs w:val="24"/>
              </w:rPr>
            </w:pPr>
            <w:r>
              <w:rPr>
                <w:rFonts w:hint="eastAsia"/>
                <w:b/>
                <w:sz w:val="24"/>
              </w:rPr>
              <w:t>制订情况</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jc w:val="right"/>
              <w:rPr>
                <w:rFonts w:ascii="楷体" w:hAnsi="楷体" w:eastAsia="楷体" w:cs="楷体"/>
                <w:sz w:val="24"/>
              </w:rPr>
            </w:pPr>
          </w:p>
          <w:p>
            <w:pPr>
              <w:ind w:right="960"/>
              <w:rPr>
                <w:rFonts w:ascii="楷体" w:hAnsi="楷体" w:eastAsia="楷体" w:cs="楷体"/>
                <w:sz w:val="24"/>
              </w:rPr>
            </w:pPr>
          </w:p>
          <w:p>
            <w:pPr>
              <w:ind w:firstLine="5760" w:firstLineChars="2400"/>
              <w:jc w:val="right"/>
              <w:rPr>
                <w:rFonts w:ascii="楷体" w:hAnsi="楷体" w:eastAsia="楷体" w:cs="楷体"/>
                <w:sz w:val="24"/>
              </w:rPr>
            </w:pPr>
          </w:p>
          <w:p>
            <w:pPr>
              <w:ind w:firstLine="5760" w:firstLineChars="2400"/>
              <w:jc w:val="right"/>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r>
              <w:rPr>
                <w:rFonts w:hint="eastAsia" w:ascii="楷体" w:hAnsi="楷体" w:eastAsia="楷体" w:cs="楷体"/>
                <w:sz w:val="24"/>
              </w:rPr>
              <w:t xml:space="preserve">签  字：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教研室 意  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签  字：</w:t>
            </w:r>
          </w:p>
          <w:p>
            <w:pPr>
              <w:ind w:firstLine="5760" w:firstLineChars="2400"/>
              <w:jc w:val="right"/>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年</w:t>
            </w:r>
            <w:r>
              <w:rPr>
                <w:rFonts w:ascii="楷体" w:hAnsi="楷体" w:eastAsia="楷体" w:cs="楷体"/>
                <w:sz w:val="24"/>
              </w:rPr>
              <w:t xml:space="preserve"> </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月</w:t>
            </w:r>
            <w:r>
              <w:rPr>
                <w:rFonts w:ascii="楷体" w:hAnsi="楷体" w:eastAsia="楷体" w:cs="楷体"/>
                <w:sz w:val="24"/>
              </w:rPr>
              <w:t xml:space="preserve"> </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分 院   意 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left="5760" w:leftChars="2400" w:hanging="720" w:hangingChars="300"/>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 xml:space="preserve">       签 字（盖章）：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归属</w:t>
            </w:r>
          </w:p>
          <w:p>
            <w:pPr>
              <w:jc w:val="center"/>
              <w:rPr>
                <w:b/>
                <w:sz w:val="24"/>
              </w:rPr>
            </w:pPr>
            <w:r>
              <w:rPr>
                <w:rFonts w:hint="eastAsia"/>
                <w:b/>
                <w:sz w:val="24"/>
              </w:rPr>
              <w:t>校领导</w:t>
            </w:r>
          </w:p>
          <w:p>
            <w:pPr>
              <w:jc w:val="center"/>
              <w:rPr>
                <w:b/>
                <w:sz w:val="24"/>
              </w:rPr>
            </w:pPr>
            <w:r>
              <w:rPr>
                <w:rFonts w:hint="eastAsia"/>
                <w:b/>
                <w:sz w:val="24"/>
              </w:rPr>
              <w:t>意见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firstLine="5280" w:firstLineChars="22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 xml:space="preserve">签 字：          </w:t>
            </w:r>
          </w:p>
          <w:p>
            <w:pPr>
              <w:rPr>
                <w:sz w:val="24"/>
                <w:szCs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教务处</w:t>
            </w:r>
          </w:p>
          <w:p>
            <w:pPr>
              <w:jc w:val="center"/>
              <w:rPr>
                <w:b/>
                <w:sz w:val="24"/>
              </w:rPr>
            </w:pPr>
            <w:r>
              <w:rPr>
                <w:rFonts w:hint="eastAsia"/>
                <w:b/>
              </w:rPr>
              <w:t>意   见</w:t>
            </w:r>
          </w:p>
        </w:tc>
        <w:tc>
          <w:tcPr>
            <w:tcW w:w="8930" w:type="dxa"/>
            <w:gridSpan w:val="3"/>
            <w:tcBorders>
              <w:top w:val="single" w:color="auto" w:sz="4" w:space="0"/>
              <w:left w:val="single" w:color="auto" w:sz="4" w:space="0"/>
              <w:bottom w:val="single" w:color="auto" w:sz="4" w:space="0"/>
              <w:right w:val="single" w:color="auto" w:sz="4" w:space="0"/>
            </w:tcBorders>
          </w:tcPr>
          <w:p>
            <w:pPr>
              <w:jc w:val="left"/>
              <w:rPr>
                <w:rFonts w:ascii="楷体" w:hAnsi="楷体" w:eastAsia="楷体" w:cs="楷体"/>
                <w:b/>
                <w:sz w:val="24"/>
              </w:rPr>
            </w:pPr>
            <w:r>
              <w:rPr>
                <w:rFonts w:hint="eastAsia" w:ascii="楷体" w:hAnsi="楷体" w:eastAsia="楷体" w:cs="楷体"/>
                <w:b/>
                <w:sz w:val="24"/>
              </w:rPr>
              <w:t>意见</w:t>
            </w:r>
            <w:r>
              <w:rPr>
                <w:rFonts w:ascii="楷体" w:hAnsi="楷体" w:eastAsia="楷体" w:cs="楷体"/>
                <w:b/>
                <w:sz w:val="24"/>
              </w:rPr>
              <w:t>：</w:t>
            </w:r>
          </w:p>
          <w:p>
            <w:pPr>
              <w:ind w:firstLine="480" w:firstLineChars="200"/>
              <w:jc w:val="left"/>
              <w:rPr>
                <w:rFonts w:ascii="楷体" w:hAnsi="楷体" w:eastAsia="楷体" w:cs="楷体"/>
                <w:sz w:val="24"/>
              </w:rPr>
            </w:pPr>
            <w:r>
              <w:rPr>
                <w:rFonts w:ascii="楷体" w:hAnsi="楷体" w:eastAsia="楷体" w:cs="楷体"/>
                <w:sz w:val="24"/>
              </w:rPr>
              <w:t>同意</w:t>
            </w:r>
            <w:r>
              <w:rPr>
                <w:rFonts w:hint="eastAsia" w:ascii="楷体" w:hAnsi="楷体" w:eastAsia="楷体" w:cs="楷体"/>
                <w:sz w:val="24"/>
                <w:u w:val="single"/>
              </w:rPr>
              <w:t xml:space="preserve">        </w:t>
            </w:r>
            <w:r>
              <w:rPr>
                <w:rFonts w:ascii="楷体" w:hAnsi="楷体" w:eastAsia="楷体" w:cs="楷体"/>
                <w:sz w:val="24"/>
              </w:rPr>
              <w:t>年级</w:t>
            </w:r>
            <w:r>
              <w:rPr>
                <w:rFonts w:hint="eastAsia" w:ascii="楷体" w:hAnsi="楷体" w:eastAsia="楷体" w:cs="楷体"/>
                <w:sz w:val="24"/>
                <w:u w:val="single"/>
              </w:rPr>
              <w:t xml:space="preserve">        </w:t>
            </w:r>
            <w:r>
              <w:rPr>
                <w:rFonts w:ascii="楷体" w:hAnsi="楷体" w:eastAsia="楷体" w:cs="楷体"/>
                <w:sz w:val="24"/>
              </w:rPr>
              <w:t>专业的人才培养方案从</w:t>
            </w:r>
            <w:r>
              <w:rPr>
                <w:rFonts w:hint="eastAsia" w:ascii="楷体" w:hAnsi="楷体" w:eastAsia="楷体" w:cs="楷体"/>
                <w:sz w:val="24"/>
                <w:u w:val="single"/>
              </w:rPr>
              <w:t xml:space="preserve">       </w:t>
            </w:r>
            <w:r>
              <w:rPr>
                <w:rFonts w:ascii="楷体" w:hAnsi="楷体" w:eastAsia="楷体" w:cs="楷体"/>
                <w:sz w:val="24"/>
              </w:rPr>
              <w:t>年</w:t>
            </w:r>
            <w:r>
              <w:rPr>
                <w:rFonts w:hint="eastAsia" w:ascii="楷体" w:hAnsi="楷体" w:eastAsia="楷体" w:cs="楷体"/>
                <w:sz w:val="24"/>
                <w:u w:val="single"/>
              </w:rPr>
              <w:t xml:space="preserve">     </w:t>
            </w:r>
            <w:r>
              <w:rPr>
                <w:rFonts w:ascii="楷体" w:hAnsi="楷体" w:eastAsia="楷体" w:cs="楷体"/>
                <w:sz w:val="24"/>
              </w:rPr>
              <w:t>月</w:t>
            </w:r>
            <w:r>
              <w:rPr>
                <w:rFonts w:hint="eastAsia" w:ascii="楷体" w:hAnsi="楷体" w:eastAsia="楷体" w:cs="楷体"/>
                <w:sz w:val="24"/>
                <w:u w:val="single"/>
              </w:rPr>
              <w:t xml:space="preserve">     </w:t>
            </w:r>
            <w:r>
              <w:rPr>
                <w:rFonts w:ascii="楷体" w:hAnsi="楷体" w:eastAsia="楷体" w:cs="楷体"/>
                <w:sz w:val="24"/>
              </w:rPr>
              <w:t>日起用。</w:t>
            </w:r>
          </w:p>
          <w:p>
            <w:pPr>
              <w:jc w:val="left"/>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ind w:firstLine="5280" w:firstLineChars="2200"/>
              <w:rPr>
                <w:rFonts w:ascii="楷体" w:hAnsi="楷体" w:eastAsia="楷体" w:cs="楷体"/>
                <w:sz w:val="24"/>
              </w:rPr>
            </w:pPr>
            <w:r>
              <w:rPr>
                <w:rFonts w:hint="eastAsia" w:ascii="楷体" w:hAnsi="楷体" w:eastAsia="楷体" w:cs="楷体"/>
                <w:sz w:val="24"/>
              </w:rPr>
              <w:t xml:space="preserve">签 字（盖章）：          </w:t>
            </w:r>
          </w:p>
          <w:p>
            <w:pPr>
              <w:ind w:firstLine="6240" w:firstLineChars="2600"/>
              <w:rPr>
                <w:sz w:val="24"/>
                <w:szCs w:val="24"/>
              </w:rPr>
            </w:pPr>
            <w:r>
              <w:rPr>
                <w:rFonts w:hint="eastAsia" w:ascii="楷体" w:hAnsi="楷体" w:eastAsia="楷体" w:cs="楷体"/>
                <w:sz w:val="24"/>
              </w:rPr>
              <w:t xml:space="preserve">   年     月     日</w:t>
            </w:r>
          </w:p>
        </w:tc>
      </w:tr>
    </w:tbl>
    <w:p/>
    <w:sectPr>
      <w:headerReference r:id="rId9" w:type="default"/>
      <w:footerReference r:id="rId10" w:type="default"/>
      <w:pgSz w:w="11906" w:h="16838"/>
      <w:pgMar w:top="567" w:right="1701" w:bottom="567" w:left="1701"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982397"/>
    </w:sdtPr>
    <w:sdtContent>
      <w:p>
        <w:pPr>
          <w:pStyle w:val="15"/>
          <w:jc w:val="center"/>
        </w:pPr>
        <w:r>
          <w:fldChar w:fldCharType="begin"/>
        </w:r>
        <w:r>
          <w:instrText xml:space="preserve">PAGE   \* MERGEFORMAT</w:instrText>
        </w:r>
        <w:r>
          <w:fldChar w:fldCharType="separate"/>
        </w:r>
        <w:r>
          <w:rPr>
            <w:lang w:val="zh-CN"/>
          </w:rPr>
          <w:t>23</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FF0000" w:sz="4" w:space="1"/>
      </w:pBdr>
      <w:rPr>
        <w:color w:val="FF0000"/>
      </w:rPr>
    </w:pPr>
    <w:r>
      <w:rPr>
        <w:rFonts w:hint="eastAsia"/>
        <w:color w:val="FF0000"/>
      </w:rPr>
      <w:t xml:space="preserve">中国·广西·百色·平果  </w:t>
    </w:r>
    <w:r>
      <w:rPr>
        <w:color w:val="FF0000"/>
      </w:rPr>
      <w:t xml:space="preserve">        </w:t>
    </w:r>
    <w:r>
      <w:rPr>
        <w:rFonts w:hint="eastAsia"/>
        <w:color w:val="FF0000"/>
      </w:rPr>
      <w:t xml:space="preserve">    </w:t>
    </w:r>
    <w:r>
      <w:rPr>
        <w:color w:val="FF0000"/>
      </w:rPr>
      <w:t xml:space="preserve">   </w:t>
    </w:r>
    <w:r>
      <w:rPr>
        <w:rFonts w:hint="eastAsia"/>
        <w:color w:val="FF0000"/>
      </w:rPr>
      <w:t>电话：0776-2630888</w:t>
    </w:r>
    <w:r>
      <w:rPr>
        <w:color w:val="FF0000"/>
      </w:rPr>
      <w:t xml:space="preserve">                         </w:t>
    </w:r>
    <w:r>
      <w:rPr>
        <w:rFonts w:hint="eastAsia"/>
        <w:color w:val="FF0000"/>
      </w:rPr>
      <w:t>邮编：531499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6875" cy="7429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5476875" cy="742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4970" cy="743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74970" cy="74358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FF0000" w:sz="4" w:space="1"/>
      </w:pBd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F4B5A"/>
    <w:multiLevelType w:val="singleLevel"/>
    <w:tmpl w:val="CD6F4B5A"/>
    <w:lvl w:ilvl="0" w:tentative="0">
      <w:start w:val="1"/>
      <w:numFmt w:val="chineseCounting"/>
      <w:suff w:val="nothing"/>
      <w:lvlText w:val="%1、"/>
      <w:lvlJc w:val="left"/>
      <w:rPr>
        <w:rFonts w:hint="eastAsia"/>
      </w:rPr>
    </w:lvl>
  </w:abstractNum>
  <w:abstractNum w:abstractNumId="1">
    <w:nsid w:val="DBAADA58"/>
    <w:multiLevelType w:val="singleLevel"/>
    <w:tmpl w:val="DBAADA58"/>
    <w:lvl w:ilvl="0" w:tentative="0">
      <w:start w:val="1"/>
      <w:numFmt w:val="chineseCounting"/>
      <w:suff w:val="nothing"/>
      <w:lvlText w:val="（%1）"/>
      <w:lvlJc w:val="left"/>
      <w:rPr>
        <w:rFonts w:hint="eastAsia"/>
      </w:rPr>
    </w:lvl>
  </w:abstractNum>
  <w:abstractNum w:abstractNumId="2">
    <w:nsid w:val="EE4EA3F2"/>
    <w:multiLevelType w:val="singleLevel"/>
    <w:tmpl w:val="EE4EA3F2"/>
    <w:lvl w:ilvl="0" w:tentative="0">
      <w:start w:val="2"/>
      <w:numFmt w:val="chineseCounting"/>
      <w:suff w:val="nothing"/>
      <w:lvlText w:val="%1、"/>
      <w:lvlJc w:val="left"/>
      <w:rPr>
        <w:rFonts w:hint="eastAsia"/>
      </w:rPr>
    </w:lvl>
  </w:abstractNum>
  <w:abstractNum w:abstractNumId="3">
    <w:nsid w:val="EF7FF7AE"/>
    <w:multiLevelType w:val="singleLevel"/>
    <w:tmpl w:val="EF7FF7AE"/>
    <w:lvl w:ilvl="0" w:tentative="0">
      <w:start w:val="2"/>
      <w:numFmt w:val="decimal"/>
      <w:lvlText w:val="%1."/>
      <w:lvlJc w:val="left"/>
      <w:pPr>
        <w:tabs>
          <w:tab w:val="left" w:pos="312"/>
        </w:tabs>
      </w:pPr>
    </w:lvl>
  </w:abstractNum>
  <w:abstractNum w:abstractNumId="4">
    <w:nsid w:val="F7E1ABA7"/>
    <w:multiLevelType w:val="singleLevel"/>
    <w:tmpl w:val="F7E1ABA7"/>
    <w:lvl w:ilvl="0" w:tentative="0">
      <w:start w:val="1"/>
      <w:numFmt w:val="decimal"/>
      <w:suff w:val="nothing"/>
      <w:lvlText w:val="（%1）"/>
      <w:lvlJc w:val="left"/>
    </w:lvl>
  </w:abstractNum>
  <w:abstractNum w:abstractNumId="5">
    <w:nsid w:val="22E98A37"/>
    <w:multiLevelType w:val="singleLevel"/>
    <w:tmpl w:val="22E98A37"/>
    <w:lvl w:ilvl="0" w:tentative="0">
      <w:start w:val="1"/>
      <w:numFmt w:val="decimal"/>
      <w:lvlText w:val="%1."/>
      <w:lvlJc w:val="left"/>
      <w:pPr>
        <w:tabs>
          <w:tab w:val="left" w:pos="312"/>
        </w:tabs>
      </w:pPr>
    </w:lvl>
  </w:abstractNum>
  <w:abstractNum w:abstractNumId="6">
    <w:nsid w:val="25C5F68D"/>
    <w:multiLevelType w:val="singleLevel"/>
    <w:tmpl w:val="25C5F68D"/>
    <w:lvl w:ilvl="0" w:tentative="0">
      <w:start w:val="1"/>
      <w:numFmt w:val="decimal"/>
      <w:suff w:val="nothing"/>
      <w:lvlText w:val="（%1）"/>
      <w:lvlJc w:val="left"/>
    </w:lvl>
  </w:abstractNum>
  <w:abstractNum w:abstractNumId="7">
    <w:nsid w:val="31A082AF"/>
    <w:multiLevelType w:val="singleLevel"/>
    <w:tmpl w:val="31A082AF"/>
    <w:lvl w:ilvl="0" w:tentative="0">
      <w:start w:val="4"/>
      <w:numFmt w:val="decimal"/>
      <w:lvlText w:val="%1."/>
      <w:lvlJc w:val="left"/>
      <w:pPr>
        <w:tabs>
          <w:tab w:val="left" w:pos="312"/>
        </w:tabs>
      </w:pPr>
    </w:lvl>
  </w:abstractNum>
  <w:abstractNum w:abstractNumId="8">
    <w:nsid w:val="5D527705"/>
    <w:multiLevelType w:val="singleLevel"/>
    <w:tmpl w:val="5D527705"/>
    <w:lvl w:ilvl="0" w:tentative="0">
      <w:start w:val="1"/>
      <w:numFmt w:val="decimal"/>
      <w:lvlText w:val="%1."/>
      <w:lvlJc w:val="left"/>
      <w:pPr>
        <w:tabs>
          <w:tab w:val="left" w:pos="312"/>
        </w:tabs>
      </w:pPr>
    </w:lvl>
  </w:abstractNum>
  <w:abstractNum w:abstractNumId="9">
    <w:nsid w:val="5E5E8EEE"/>
    <w:multiLevelType w:val="singleLevel"/>
    <w:tmpl w:val="5E5E8EEE"/>
    <w:lvl w:ilvl="0" w:tentative="0">
      <w:start w:val="3"/>
      <w:numFmt w:val="decimal"/>
      <w:suff w:val="nothing"/>
      <w:lvlText w:val="（%1）"/>
      <w:lvlJc w:val="left"/>
    </w:lvl>
  </w:abstractNum>
  <w:num w:numId="1">
    <w:abstractNumId w:val="0"/>
  </w:num>
  <w:num w:numId="2">
    <w:abstractNumId w:val="2"/>
  </w:num>
  <w:num w:numId="3">
    <w:abstractNumId w:val="9"/>
  </w:num>
  <w:num w:numId="4">
    <w:abstractNumId w:val="4"/>
  </w:num>
  <w:num w:numId="5">
    <w:abstractNumId w:val="1"/>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071F"/>
    <w:rsid w:val="00051DB3"/>
    <w:rsid w:val="000610E3"/>
    <w:rsid w:val="0007035D"/>
    <w:rsid w:val="00075B7F"/>
    <w:rsid w:val="00076E75"/>
    <w:rsid w:val="00077762"/>
    <w:rsid w:val="000A16BC"/>
    <w:rsid w:val="000A30F3"/>
    <w:rsid w:val="000A51D3"/>
    <w:rsid w:val="000A574A"/>
    <w:rsid w:val="000C4BD9"/>
    <w:rsid w:val="000D030E"/>
    <w:rsid w:val="000D1119"/>
    <w:rsid w:val="000D572B"/>
    <w:rsid w:val="000E17EE"/>
    <w:rsid w:val="000F0B71"/>
    <w:rsid w:val="000F6516"/>
    <w:rsid w:val="001030AF"/>
    <w:rsid w:val="00114687"/>
    <w:rsid w:val="00130D16"/>
    <w:rsid w:val="00141F0D"/>
    <w:rsid w:val="00147F08"/>
    <w:rsid w:val="00154D1B"/>
    <w:rsid w:val="00155157"/>
    <w:rsid w:val="00161E7C"/>
    <w:rsid w:val="00172A11"/>
    <w:rsid w:val="001A6E21"/>
    <w:rsid w:val="001A7D2D"/>
    <w:rsid w:val="001C0A5E"/>
    <w:rsid w:val="001D1C94"/>
    <w:rsid w:val="001E7864"/>
    <w:rsid w:val="001F5701"/>
    <w:rsid w:val="00203C2B"/>
    <w:rsid w:val="00213934"/>
    <w:rsid w:val="00215B74"/>
    <w:rsid w:val="0022199C"/>
    <w:rsid w:val="00226E5E"/>
    <w:rsid w:val="00233C13"/>
    <w:rsid w:val="00246661"/>
    <w:rsid w:val="00276DFB"/>
    <w:rsid w:val="00283C86"/>
    <w:rsid w:val="0029381E"/>
    <w:rsid w:val="002A0F5D"/>
    <w:rsid w:val="002A2AC4"/>
    <w:rsid w:val="002A36E9"/>
    <w:rsid w:val="002B62BB"/>
    <w:rsid w:val="002E05FB"/>
    <w:rsid w:val="002F50EB"/>
    <w:rsid w:val="003030CB"/>
    <w:rsid w:val="003038FE"/>
    <w:rsid w:val="00305DC8"/>
    <w:rsid w:val="00310009"/>
    <w:rsid w:val="00314066"/>
    <w:rsid w:val="00320234"/>
    <w:rsid w:val="00321808"/>
    <w:rsid w:val="00324441"/>
    <w:rsid w:val="003301C1"/>
    <w:rsid w:val="00332EC5"/>
    <w:rsid w:val="003338CF"/>
    <w:rsid w:val="00335233"/>
    <w:rsid w:val="003532BD"/>
    <w:rsid w:val="00356919"/>
    <w:rsid w:val="00365F24"/>
    <w:rsid w:val="00370787"/>
    <w:rsid w:val="0038393B"/>
    <w:rsid w:val="00384909"/>
    <w:rsid w:val="00386A12"/>
    <w:rsid w:val="00397895"/>
    <w:rsid w:val="003A134A"/>
    <w:rsid w:val="003A77DC"/>
    <w:rsid w:val="003C6A97"/>
    <w:rsid w:val="003D6B83"/>
    <w:rsid w:val="003E6D1E"/>
    <w:rsid w:val="003E7FA4"/>
    <w:rsid w:val="0041448B"/>
    <w:rsid w:val="00443A09"/>
    <w:rsid w:val="0044738A"/>
    <w:rsid w:val="004622B3"/>
    <w:rsid w:val="004723E9"/>
    <w:rsid w:val="00474A7B"/>
    <w:rsid w:val="004757D7"/>
    <w:rsid w:val="00477065"/>
    <w:rsid w:val="00490697"/>
    <w:rsid w:val="00490EDD"/>
    <w:rsid w:val="004B2402"/>
    <w:rsid w:val="004E074F"/>
    <w:rsid w:val="004E42F6"/>
    <w:rsid w:val="004F5F51"/>
    <w:rsid w:val="004F7F88"/>
    <w:rsid w:val="00502EDC"/>
    <w:rsid w:val="00507432"/>
    <w:rsid w:val="00517D66"/>
    <w:rsid w:val="0052235B"/>
    <w:rsid w:val="00533C70"/>
    <w:rsid w:val="00541D85"/>
    <w:rsid w:val="00554535"/>
    <w:rsid w:val="00560085"/>
    <w:rsid w:val="0056041C"/>
    <w:rsid w:val="0056560A"/>
    <w:rsid w:val="00566075"/>
    <w:rsid w:val="00586AB4"/>
    <w:rsid w:val="005D5439"/>
    <w:rsid w:val="005E7B25"/>
    <w:rsid w:val="006143A1"/>
    <w:rsid w:val="0061560E"/>
    <w:rsid w:val="006156D1"/>
    <w:rsid w:val="0061769E"/>
    <w:rsid w:val="00627F6F"/>
    <w:rsid w:val="0064116E"/>
    <w:rsid w:val="00663B72"/>
    <w:rsid w:val="006702D3"/>
    <w:rsid w:val="0067411D"/>
    <w:rsid w:val="006758CE"/>
    <w:rsid w:val="00677ACF"/>
    <w:rsid w:val="00682B98"/>
    <w:rsid w:val="006846F9"/>
    <w:rsid w:val="00684FB9"/>
    <w:rsid w:val="0069007F"/>
    <w:rsid w:val="00695377"/>
    <w:rsid w:val="00696B0D"/>
    <w:rsid w:val="006A1AA7"/>
    <w:rsid w:val="006A7E87"/>
    <w:rsid w:val="006B4C47"/>
    <w:rsid w:val="006D4151"/>
    <w:rsid w:val="006D6FD8"/>
    <w:rsid w:val="006F1B5A"/>
    <w:rsid w:val="007148CB"/>
    <w:rsid w:val="00721BA3"/>
    <w:rsid w:val="0074250D"/>
    <w:rsid w:val="007575DA"/>
    <w:rsid w:val="00775CE0"/>
    <w:rsid w:val="00777128"/>
    <w:rsid w:val="00797659"/>
    <w:rsid w:val="007A1243"/>
    <w:rsid w:val="007A36B1"/>
    <w:rsid w:val="007A55A3"/>
    <w:rsid w:val="007B0734"/>
    <w:rsid w:val="007B594A"/>
    <w:rsid w:val="007C2AF8"/>
    <w:rsid w:val="007C3D40"/>
    <w:rsid w:val="007D250F"/>
    <w:rsid w:val="007D4AAD"/>
    <w:rsid w:val="007E1BAC"/>
    <w:rsid w:val="007E553E"/>
    <w:rsid w:val="007F19A3"/>
    <w:rsid w:val="0080071F"/>
    <w:rsid w:val="008023DC"/>
    <w:rsid w:val="008043C5"/>
    <w:rsid w:val="00812E8C"/>
    <w:rsid w:val="008256A1"/>
    <w:rsid w:val="008265C3"/>
    <w:rsid w:val="008273F0"/>
    <w:rsid w:val="00827C84"/>
    <w:rsid w:val="00833D63"/>
    <w:rsid w:val="00842C95"/>
    <w:rsid w:val="00844489"/>
    <w:rsid w:val="008476DA"/>
    <w:rsid w:val="00853827"/>
    <w:rsid w:val="0086107A"/>
    <w:rsid w:val="008628A9"/>
    <w:rsid w:val="008672A4"/>
    <w:rsid w:val="00870F3D"/>
    <w:rsid w:val="00880025"/>
    <w:rsid w:val="00894ACC"/>
    <w:rsid w:val="008A43AA"/>
    <w:rsid w:val="008B59C5"/>
    <w:rsid w:val="008B6A9C"/>
    <w:rsid w:val="008C42F8"/>
    <w:rsid w:val="008E4482"/>
    <w:rsid w:val="00912875"/>
    <w:rsid w:val="00916923"/>
    <w:rsid w:val="0092234C"/>
    <w:rsid w:val="00926B13"/>
    <w:rsid w:val="00936882"/>
    <w:rsid w:val="00942CE0"/>
    <w:rsid w:val="00973EDE"/>
    <w:rsid w:val="00980D5D"/>
    <w:rsid w:val="00994709"/>
    <w:rsid w:val="009A4DB3"/>
    <w:rsid w:val="009B044A"/>
    <w:rsid w:val="009B5204"/>
    <w:rsid w:val="009C0E44"/>
    <w:rsid w:val="009D21FF"/>
    <w:rsid w:val="009E50B4"/>
    <w:rsid w:val="009E6C65"/>
    <w:rsid w:val="00A1467F"/>
    <w:rsid w:val="00A16EF6"/>
    <w:rsid w:val="00A31304"/>
    <w:rsid w:val="00A37478"/>
    <w:rsid w:val="00A44391"/>
    <w:rsid w:val="00A47A22"/>
    <w:rsid w:val="00A731BB"/>
    <w:rsid w:val="00A976A1"/>
    <w:rsid w:val="00AC294E"/>
    <w:rsid w:val="00AD1C14"/>
    <w:rsid w:val="00AD25D3"/>
    <w:rsid w:val="00AD5324"/>
    <w:rsid w:val="00AE277D"/>
    <w:rsid w:val="00AF695E"/>
    <w:rsid w:val="00B04DB6"/>
    <w:rsid w:val="00B14430"/>
    <w:rsid w:val="00B223C1"/>
    <w:rsid w:val="00B238D8"/>
    <w:rsid w:val="00B27A00"/>
    <w:rsid w:val="00B318E3"/>
    <w:rsid w:val="00B42626"/>
    <w:rsid w:val="00B570CB"/>
    <w:rsid w:val="00B630BF"/>
    <w:rsid w:val="00B64155"/>
    <w:rsid w:val="00B65E9B"/>
    <w:rsid w:val="00B703DE"/>
    <w:rsid w:val="00B7140D"/>
    <w:rsid w:val="00B71B37"/>
    <w:rsid w:val="00B772FE"/>
    <w:rsid w:val="00B87ED4"/>
    <w:rsid w:val="00BB1978"/>
    <w:rsid w:val="00BB4A90"/>
    <w:rsid w:val="00BB5535"/>
    <w:rsid w:val="00BC625F"/>
    <w:rsid w:val="00BE5499"/>
    <w:rsid w:val="00BF0652"/>
    <w:rsid w:val="00BF3ED7"/>
    <w:rsid w:val="00C027B4"/>
    <w:rsid w:val="00C130B3"/>
    <w:rsid w:val="00C155D3"/>
    <w:rsid w:val="00C21206"/>
    <w:rsid w:val="00C355B4"/>
    <w:rsid w:val="00C42B0F"/>
    <w:rsid w:val="00C43FCB"/>
    <w:rsid w:val="00C45732"/>
    <w:rsid w:val="00C5545C"/>
    <w:rsid w:val="00C620C8"/>
    <w:rsid w:val="00C66FA0"/>
    <w:rsid w:val="00C716B0"/>
    <w:rsid w:val="00C90D55"/>
    <w:rsid w:val="00CB792D"/>
    <w:rsid w:val="00CC4691"/>
    <w:rsid w:val="00CD4BF4"/>
    <w:rsid w:val="00CF2833"/>
    <w:rsid w:val="00D06163"/>
    <w:rsid w:val="00D06D05"/>
    <w:rsid w:val="00D07BFB"/>
    <w:rsid w:val="00D15F14"/>
    <w:rsid w:val="00D22F4E"/>
    <w:rsid w:val="00D4723A"/>
    <w:rsid w:val="00D47514"/>
    <w:rsid w:val="00D53D30"/>
    <w:rsid w:val="00D55623"/>
    <w:rsid w:val="00D87C52"/>
    <w:rsid w:val="00DA3235"/>
    <w:rsid w:val="00DA3E60"/>
    <w:rsid w:val="00DB0180"/>
    <w:rsid w:val="00DB132E"/>
    <w:rsid w:val="00DB2DB1"/>
    <w:rsid w:val="00DB4D23"/>
    <w:rsid w:val="00DC6E1B"/>
    <w:rsid w:val="00DE43E8"/>
    <w:rsid w:val="00DE57C5"/>
    <w:rsid w:val="00DF1276"/>
    <w:rsid w:val="00DF2657"/>
    <w:rsid w:val="00DF5B7E"/>
    <w:rsid w:val="00E0164D"/>
    <w:rsid w:val="00E01F57"/>
    <w:rsid w:val="00E10989"/>
    <w:rsid w:val="00E2331E"/>
    <w:rsid w:val="00E24BD0"/>
    <w:rsid w:val="00E3278B"/>
    <w:rsid w:val="00E3697A"/>
    <w:rsid w:val="00E41C66"/>
    <w:rsid w:val="00E51021"/>
    <w:rsid w:val="00E54747"/>
    <w:rsid w:val="00E86C2E"/>
    <w:rsid w:val="00E87A26"/>
    <w:rsid w:val="00E910C9"/>
    <w:rsid w:val="00EA7BF7"/>
    <w:rsid w:val="00EB0EAB"/>
    <w:rsid w:val="00EE2977"/>
    <w:rsid w:val="00EE490E"/>
    <w:rsid w:val="00EE4AF4"/>
    <w:rsid w:val="00EF5D58"/>
    <w:rsid w:val="00F00403"/>
    <w:rsid w:val="00F06C7F"/>
    <w:rsid w:val="00F17B2F"/>
    <w:rsid w:val="00F235AC"/>
    <w:rsid w:val="00F433CB"/>
    <w:rsid w:val="00F44667"/>
    <w:rsid w:val="00F44B7A"/>
    <w:rsid w:val="00F46DC2"/>
    <w:rsid w:val="00F50C71"/>
    <w:rsid w:val="00F63FB8"/>
    <w:rsid w:val="00F75C44"/>
    <w:rsid w:val="00F7634C"/>
    <w:rsid w:val="00F8064C"/>
    <w:rsid w:val="00F873E6"/>
    <w:rsid w:val="00F938A2"/>
    <w:rsid w:val="00F97EBB"/>
    <w:rsid w:val="00FA3C03"/>
    <w:rsid w:val="00FB1806"/>
    <w:rsid w:val="00FB1809"/>
    <w:rsid w:val="00FB42BB"/>
    <w:rsid w:val="00FC4A01"/>
    <w:rsid w:val="00FD1207"/>
    <w:rsid w:val="00FD3E3A"/>
    <w:rsid w:val="00FE10F2"/>
    <w:rsid w:val="00FE1585"/>
    <w:rsid w:val="0100679E"/>
    <w:rsid w:val="02555CCD"/>
    <w:rsid w:val="03881035"/>
    <w:rsid w:val="03F111A8"/>
    <w:rsid w:val="04D83726"/>
    <w:rsid w:val="05480634"/>
    <w:rsid w:val="054B2BEC"/>
    <w:rsid w:val="055E4095"/>
    <w:rsid w:val="065C3939"/>
    <w:rsid w:val="06C42F3E"/>
    <w:rsid w:val="06C501A1"/>
    <w:rsid w:val="06E76371"/>
    <w:rsid w:val="075A45D9"/>
    <w:rsid w:val="07E708DC"/>
    <w:rsid w:val="09911447"/>
    <w:rsid w:val="09E61163"/>
    <w:rsid w:val="0B5D4379"/>
    <w:rsid w:val="0C5F7CDC"/>
    <w:rsid w:val="0D4560DF"/>
    <w:rsid w:val="0D782C52"/>
    <w:rsid w:val="0E0229D5"/>
    <w:rsid w:val="0F9D3AF6"/>
    <w:rsid w:val="0FD01D57"/>
    <w:rsid w:val="11AB19E0"/>
    <w:rsid w:val="12377E95"/>
    <w:rsid w:val="12F7103A"/>
    <w:rsid w:val="136E63BB"/>
    <w:rsid w:val="15523423"/>
    <w:rsid w:val="1588357B"/>
    <w:rsid w:val="16432F8F"/>
    <w:rsid w:val="16CC368B"/>
    <w:rsid w:val="177614FF"/>
    <w:rsid w:val="18A42427"/>
    <w:rsid w:val="192453F3"/>
    <w:rsid w:val="19F45109"/>
    <w:rsid w:val="1A375FE2"/>
    <w:rsid w:val="1B3E41F5"/>
    <w:rsid w:val="1B401182"/>
    <w:rsid w:val="1B4E3C9E"/>
    <w:rsid w:val="1B6C08B9"/>
    <w:rsid w:val="1CF14324"/>
    <w:rsid w:val="1CF95A85"/>
    <w:rsid w:val="1D6B4DB8"/>
    <w:rsid w:val="1E5055A2"/>
    <w:rsid w:val="1E987535"/>
    <w:rsid w:val="1EBF3CFF"/>
    <w:rsid w:val="1ED94855"/>
    <w:rsid w:val="1EF709A9"/>
    <w:rsid w:val="1F0151D8"/>
    <w:rsid w:val="1FFD072E"/>
    <w:rsid w:val="20BB7BD8"/>
    <w:rsid w:val="226C1E8A"/>
    <w:rsid w:val="23453F15"/>
    <w:rsid w:val="23BA2277"/>
    <w:rsid w:val="242C5833"/>
    <w:rsid w:val="254F32BC"/>
    <w:rsid w:val="2669746E"/>
    <w:rsid w:val="274954AE"/>
    <w:rsid w:val="27A936BE"/>
    <w:rsid w:val="292F1B5B"/>
    <w:rsid w:val="2AD965E7"/>
    <w:rsid w:val="2D675D9C"/>
    <w:rsid w:val="2F52132F"/>
    <w:rsid w:val="2FFD0963"/>
    <w:rsid w:val="31216DBC"/>
    <w:rsid w:val="3124318C"/>
    <w:rsid w:val="31B26618"/>
    <w:rsid w:val="32650C2D"/>
    <w:rsid w:val="329B527B"/>
    <w:rsid w:val="347223C8"/>
    <w:rsid w:val="352D701B"/>
    <w:rsid w:val="354F50F0"/>
    <w:rsid w:val="36E2075F"/>
    <w:rsid w:val="382E197C"/>
    <w:rsid w:val="38D17DE9"/>
    <w:rsid w:val="390D14E3"/>
    <w:rsid w:val="3A72566C"/>
    <w:rsid w:val="3A7C2E05"/>
    <w:rsid w:val="3BCB0D16"/>
    <w:rsid w:val="3CE1007C"/>
    <w:rsid w:val="3E031596"/>
    <w:rsid w:val="3E1A6382"/>
    <w:rsid w:val="3E8B204E"/>
    <w:rsid w:val="3F474CA6"/>
    <w:rsid w:val="40A01173"/>
    <w:rsid w:val="40B20371"/>
    <w:rsid w:val="40E520FE"/>
    <w:rsid w:val="40E65155"/>
    <w:rsid w:val="42180B3B"/>
    <w:rsid w:val="424B3D3E"/>
    <w:rsid w:val="42FB59A4"/>
    <w:rsid w:val="43C8579D"/>
    <w:rsid w:val="442E6601"/>
    <w:rsid w:val="443F07FF"/>
    <w:rsid w:val="44F76202"/>
    <w:rsid w:val="47DF62B8"/>
    <w:rsid w:val="488E3905"/>
    <w:rsid w:val="48E4436B"/>
    <w:rsid w:val="49553569"/>
    <w:rsid w:val="4A4F70C4"/>
    <w:rsid w:val="4ABF4BBF"/>
    <w:rsid w:val="4B6E26C5"/>
    <w:rsid w:val="4BC067F1"/>
    <w:rsid w:val="4C0D02E8"/>
    <w:rsid w:val="4D1216D9"/>
    <w:rsid w:val="4D807C72"/>
    <w:rsid w:val="4E0F1DB8"/>
    <w:rsid w:val="4E742EF9"/>
    <w:rsid w:val="4ECE55C5"/>
    <w:rsid w:val="4EF75794"/>
    <w:rsid w:val="4FBE7656"/>
    <w:rsid w:val="50796CF3"/>
    <w:rsid w:val="50DC02A8"/>
    <w:rsid w:val="51075181"/>
    <w:rsid w:val="51C3393C"/>
    <w:rsid w:val="53835BD7"/>
    <w:rsid w:val="541C3677"/>
    <w:rsid w:val="54912B47"/>
    <w:rsid w:val="54AE6F35"/>
    <w:rsid w:val="54ED3C6C"/>
    <w:rsid w:val="55256764"/>
    <w:rsid w:val="563D7FE4"/>
    <w:rsid w:val="56D607CE"/>
    <w:rsid w:val="56F92A88"/>
    <w:rsid w:val="570C5DAD"/>
    <w:rsid w:val="576E50DC"/>
    <w:rsid w:val="588028EC"/>
    <w:rsid w:val="58D325C0"/>
    <w:rsid w:val="591572DB"/>
    <w:rsid w:val="59280214"/>
    <w:rsid w:val="598042ED"/>
    <w:rsid w:val="59CA49B9"/>
    <w:rsid w:val="59D048D7"/>
    <w:rsid w:val="5A454A6B"/>
    <w:rsid w:val="5A6B5DE7"/>
    <w:rsid w:val="5ADE02E7"/>
    <w:rsid w:val="5B2E7FD8"/>
    <w:rsid w:val="5B7B53FA"/>
    <w:rsid w:val="5BC46711"/>
    <w:rsid w:val="5C7F5912"/>
    <w:rsid w:val="5C8405DE"/>
    <w:rsid w:val="5D144F52"/>
    <w:rsid w:val="5D286B90"/>
    <w:rsid w:val="5F04196A"/>
    <w:rsid w:val="5F970E18"/>
    <w:rsid w:val="606D7387"/>
    <w:rsid w:val="6088152F"/>
    <w:rsid w:val="62477010"/>
    <w:rsid w:val="625F22A6"/>
    <w:rsid w:val="644D442A"/>
    <w:rsid w:val="64774AC6"/>
    <w:rsid w:val="64AC1DBC"/>
    <w:rsid w:val="64F32DEF"/>
    <w:rsid w:val="65242FCD"/>
    <w:rsid w:val="6755296B"/>
    <w:rsid w:val="68812D0D"/>
    <w:rsid w:val="69016CDC"/>
    <w:rsid w:val="6973108A"/>
    <w:rsid w:val="69B13E3B"/>
    <w:rsid w:val="6B613D3E"/>
    <w:rsid w:val="6B8246F9"/>
    <w:rsid w:val="6C275F19"/>
    <w:rsid w:val="6C8179C4"/>
    <w:rsid w:val="6CF65330"/>
    <w:rsid w:val="6D3B3227"/>
    <w:rsid w:val="6E9B49EE"/>
    <w:rsid w:val="6F220249"/>
    <w:rsid w:val="6F955869"/>
    <w:rsid w:val="6FBC3D0D"/>
    <w:rsid w:val="70A42EDF"/>
    <w:rsid w:val="70B06FA2"/>
    <w:rsid w:val="710464C5"/>
    <w:rsid w:val="71D10BEA"/>
    <w:rsid w:val="7258323B"/>
    <w:rsid w:val="73552EFC"/>
    <w:rsid w:val="74416807"/>
    <w:rsid w:val="74681CFF"/>
    <w:rsid w:val="748254C1"/>
    <w:rsid w:val="74E04198"/>
    <w:rsid w:val="74E65907"/>
    <w:rsid w:val="765B6427"/>
    <w:rsid w:val="76CD1FE1"/>
    <w:rsid w:val="78995D5F"/>
    <w:rsid w:val="794D705D"/>
    <w:rsid w:val="797F4E9E"/>
    <w:rsid w:val="79902435"/>
    <w:rsid w:val="79F26662"/>
    <w:rsid w:val="7B391773"/>
    <w:rsid w:val="7CB32F93"/>
    <w:rsid w:val="7CBB27D8"/>
    <w:rsid w:val="7D4E0E1C"/>
    <w:rsid w:val="7E5155DE"/>
    <w:rsid w:val="7EBB575C"/>
    <w:rsid w:val="7F361351"/>
    <w:rsid w:val="7FAC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widowControl/>
      <w:spacing w:before="468" w:beforeLines="150" w:after="468" w:afterLines="150" w:line="360" w:lineRule="exact"/>
      <w:jc w:val="center"/>
      <w:outlineLvl w:val="0"/>
    </w:pPr>
    <w:rPr>
      <w:rFonts w:ascii="宋体" w:hAnsi="宋体" w:eastAsia="黑体" w:cs="Times New Roman"/>
      <w:bCs/>
      <w:color w:val="000000"/>
      <w:kern w:val="0"/>
      <w:sz w:val="44"/>
      <w:szCs w:val="28"/>
      <w:lang w:val="zh-CN"/>
    </w:rPr>
  </w:style>
  <w:style w:type="paragraph" w:styleId="3">
    <w:name w:val="heading 2"/>
    <w:basedOn w:val="1"/>
    <w:next w:val="1"/>
    <w:link w:val="45"/>
    <w:qFormat/>
    <w:uiPriority w:val="0"/>
    <w:pPr>
      <w:keepNext/>
      <w:keepLines/>
      <w:widowControl/>
      <w:spacing w:line="360" w:lineRule="auto"/>
      <w:ind w:left="422"/>
      <w:jc w:val="left"/>
      <w:outlineLvl w:val="1"/>
    </w:pPr>
    <w:rPr>
      <w:rFonts w:ascii="宋体" w:hAnsi="宋体" w:eastAsia="宋体" w:cs="Times New Roman"/>
      <w:b/>
      <w:bCs/>
      <w:color w:val="000000"/>
      <w:kern w:val="0"/>
      <w:sz w:val="20"/>
      <w:szCs w:val="21"/>
      <w:lang w:val="zh-CN"/>
    </w:rPr>
  </w:style>
  <w:style w:type="paragraph" w:styleId="4">
    <w:name w:val="heading 3"/>
    <w:basedOn w:val="1"/>
    <w:next w:val="1"/>
    <w:link w:val="46"/>
    <w:qFormat/>
    <w:uiPriority w:val="0"/>
    <w:pPr>
      <w:keepNext/>
      <w:keepLines/>
      <w:widowControl/>
      <w:spacing w:line="360" w:lineRule="atLeast"/>
      <w:ind w:firstLine="420" w:firstLineChars="200"/>
      <w:jc w:val="left"/>
      <w:outlineLvl w:val="2"/>
    </w:pPr>
    <w:rPr>
      <w:rFonts w:ascii="Times New Roman" w:hAnsi="Times New Roman" w:eastAsia="黑体" w:cs="Times New Roman"/>
      <w:bCs/>
      <w:color w:val="000000"/>
      <w:kern w:val="0"/>
      <w:sz w:val="20"/>
      <w:szCs w:val="32"/>
      <w:lang w:val="zh-CN"/>
    </w:rPr>
  </w:style>
  <w:style w:type="character" w:default="1" w:styleId="28">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74"/>
    <w:qFormat/>
    <w:uiPriority w:val="0"/>
    <w:pPr>
      <w:shd w:val="clear" w:color="auto" w:fill="000080"/>
    </w:pPr>
    <w:rPr>
      <w:szCs w:val="24"/>
    </w:rPr>
  </w:style>
  <w:style w:type="paragraph" w:styleId="6">
    <w:name w:val="annotation text"/>
    <w:basedOn w:val="1"/>
    <w:link w:val="83"/>
    <w:qFormat/>
    <w:uiPriority w:val="0"/>
    <w:pPr>
      <w:jc w:val="left"/>
    </w:pPr>
    <w:rPr>
      <w:szCs w:val="24"/>
    </w:rPr>
  </w:style>
  <w:style w:type="paragraph" w:styleId="7">
    <w:name w:val="Body Text"/>
    <w:basedOn w:val="1"/>
    <w:link w:val="62"/>
    <w:qFormat/>
    <w:uiPriority w:val="0"/>
    <w:pPr>
      <w:spacing w:line="400" w:lineRule="exact"/>
    </w:pPr>
    <w:rPr>
      <w:rFonts w:ascii="宋体" w:hAnsi="宋体"/>
      <w:color w:val="000000"/>
      <w:sz w:val="18"/>
      <w:szCs w:val="18"/>
    </w:rPr>
  </w:style>
  <w:style w:type="paragraph" w:styleId="8">
    <w:name w:val="Body Text Indent"/>
    <w:basedOn w:val="1"/>
    <w:link w:val="76"/>
    <w:qFormat/>
    <w:uiPriority w:val="0"/>
    <w:pPr>
      <w:ind w:firstLine="560" w:firstLineChars="200"/>
    </w:pPr>
    <w:rPr>
      <w:rFonts w:ascii="仿宋_GB2312" w:hAnsi="宋体" w:eastAsia="仿宋_GB2312"/>
      <w:sz w:val="28"/>
      <w:szCs w:val="28"/>
    </w:rPr>
  </w:style>
  <w:style w:type="paragraph" w:styleId="9">
    <w:name w:val="Block Text"/>
    <w:basedOn w:val="1"/>
    <w:qFormat/>
    <w:uiPriority w:val="0"/>
    <w:pPr>
      <w:widowControl/>
      <w:tabs>
        <w:tab w:val="left" w:pos="578"/>
      </w:tabs>
      <w:spacing w:line="360" w:lineRule="auto"/>
      <w:ind w:left="120" w:leftChars="50" w:right="120" w:rightChars="50" w:firstLine="480" w:firstLineChars="200"/>
      <w:jc w:val="left"/>
    </w:pPr>
    <w:rPr>
      <w:rFonts w:ascii="Times New Roman" w:hAnsi="Times New Roman" w:eastAsia="宋体" w:cs="Times New Roman"/>
      <w:kern w:val="0"/>
      <w:sz w:val="24"/>
      <w:szCs w:val="28"/>
    </w:rPr>
  </w:style>
  <w:style w:type="paragraph" w:styleId="10">
    <w:name w:val="toc 3"/>
    <w:basedOn w:val="1"/>
    <w:next w:val="1"/>
    <w:qFormat/>
    <w:uiPriority w:val="39"/>
    <w:pPr>
      <w:ind w:left="840" w:leftChars="400"/>
    </w:pPr>
    <w:rPr>
      <w:rFonts w:ascii="Times New Roman" w:hAnsi="Times New Roman" w:eastAsia="宋体" w:cs="Times New Roman"/>
      <w:szCs w:val="24"/>
    </w:rPr>
  </w:style>
  <w:style w:type="paragraph" w:styleId="11">
    <w:name w:val="Plain Text"/>
    <w:basedOn w:val="1"/>
    <w:link w:val="82"/>
    <w:qFormat/>
    <w:uiPriority w:val="0"/>
    <w:pPr>
      <w:widowControl/>
      <w:spacing w:before="100" w:beforeAutospacing="1" w:after="100" w:afterAutospacing="1"/>
      <w:jc w:val="left"/>
    </w:pPr>
    <w:rPr>
      <w:rFonts w:ascii="宋体" w:hAnsi="宋体"/>
      <w:sz w:val="24"/>
      <w:szCs w:val="24"/>
    </w:rPr>
  </w:style>
  <w:style w:type="paragraph" w:styleId="12">
    <w:name w:val="Date"/>
    <w:basedOn w:val="1"/>
    <w:next w:val="1"/>
    <w:link w:val="85"/>
    <w:qFormat/>
    <w:uiPriority w:val="0"/>
    <w:rPr>
      <w:szCs w:val="24"/>
    </w:rPr>
  </w:style>
  <w:style w:type="paragraph" w:styleId="13">
    <w:name w:val="Body Text Indent 2"/>
    <w:basedOn w:val="1"/>
    <w:link w:val="77"/>
    <w:qFormat/>
    <w:uiPriority w:val="0"/>
    <w:pPr>
      <w:widowControl/>
      <w:spacing w:line="360" w:lineRule="auto"/>
      <w:ind w:firstLine="480" w:firstLineChars="200"/>
      <w:jc w:val="left"/>
    </w:pPr>
    <w:rPr>
      <w:sz w:val="24"/>
      <w:szCs w:val="24"/>
    </w:rPr>
  </w:style>
  <w:style w:type="paragraph" w:styleId="14">
    <w:name w:val="Balloon Text"/>
    <w:basedOn w:val="1"/>
    <w:link w:val="43"/>
    <w:unhideWhenUsed/>
    <w:qFormat/>
    <w:uiPriority w:val="0"/>
    <w:rPr>
      <w:sz w:val="18"/>
      <w:szCs w:val="18"/>
    </w:rPr>
  </w:style>
  <w:style w:type="paragraph" w:styleId="15">
    <w:name w:val="footer"/>
    <w:basedOn w:val="1"/>
    <w:link w:val="42"/>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60"/>
      </w:tabs>
      <w:jc w:val="center"/>
    </w:pPr>
    <w:rPr>
      <w:rFonts w:ascii="黑体" w:hAnsi="黑体" w:eastAsia="黑体" w:cs="Times New Roman"/>
      <w:sz w:val="52"/>
      <w:szCs w:val="52"/>
    </w:rPr>
  </w:style>
  <w:style w:type="paragraph" w:styleId="18">
    <w:name w:val="Subtitle"/>
    <w:basedOn w:val="1"/>
    <w:next w:val="1"/>
    <w:link w:val="86"/>
    <w:qFormat/>
    <w:uiPriority w:val="11"/>
    <w:pPr>
      <w:widowControl/>
      <w:spacing w:after="200" w:line="276" w:lineRule="auto"/>
      <w:jc w:val="left"/>
    </w:pPr>
    <w:rPr>
      <w:rFonts w:ascii="Cambria" w:hAnsi="Cambria"/>
      <w:i/>
      <w:iCs/>
      <w:color w:val="4F81BD"/>
      <w:spacing w:val="15"/>
      <w:sz w:val="24"/>
      <w:szCs w:val="24"/>
    </w:rPr>
  </w:style>
  <w:style w:type="paragraph" w:styleId="19">
    <w:name w:val="Body Text Indent 3"/>
    <w:basedOn w:val="1"/>
    <w:link w:val="79"/>
    <w:qFormat/>
    <w:uiPriority w:val="0"/>
    <w:pPr>
      <w:ind w:firstLine="560" w:firstLineChars="200"/>
    </w:pPr>
    <w:rPr>
      <w:rFonts w:ascii="仿宋_GB2312" w:hAnsi="宋体" w:eastAsia="仿宋_GB2312"/>
      <w:color w:val="000000"/>
      <w:sz w:val="28"/>
      <w:szCs w:val="28"/>
    </w:rPr>
  </w:style>
  <w:style w:type="paragraph" w:styleId="20">
    <w:name w:val="toc 2"/>
    <w:basedOn w:val="1"/>
    <w:next w:val="1"/>
    <w:qFormat/>
    <w:uiPriority w:val="39"/>
    <w:pPr>
      <w:ind w:left="420" w:leftChars="200"/>
    </w:pPr>
    <w:rPr>
      <w:rFonts w:ascii="Times New Roman" w:hAnsi="Times New Roman" w:eastAsia="宋体" w:cs="Times New Roman"/>
      <w:szCs w:val="24"/>
    </w:rPr>
  </w:style>
  <w:style w:type="paragraph" w:styleId="21">
    <w:name w:val="Body Text 2"/>
    <w:basedOn w:val="1"/>
    <w:link w:val="84"/>
    <w:qFormat/>
    <w:uiPriority w:val="0"/>
    <w:rPr>
      <w:sz w:val="24"/>
    </w:rPr>
  </w:style>
  <w:style w:type="paragraph" w:styleId="22">
    <w:name w:val="HTML Preformatted"/>
    <w:basedOn w:val="1"/>
    <w:link w:val="7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1"/>
    <w:link w:val="88"/>
    <w:qFormat/>
    <w:uiPriority w:val="10"/>
    <w:pPr>
      <w:widowControl/>
      <w:pBdr>
        <w:bottom w:val="single" w:color="4F81BD" w:sz="8" w:space="4"/>
      </w:pBdr>
      <w:spacing w:after="300" w:line="360" w:lineRule="exact"/>
      <w:contextualSpacing/>
      <w:jc w:val="left"/>
    </w:pPr>
    <w:rPr>
      <w:rFonts w:ascii="Cambria" w:hAnsi="Cambria"/>
      <w:color w:val="17365D"/>
      <w:spacing w:val="5"/>
      <w:kern w:val="28"/>
      <w:sz w:val="52"/>
      <w:szCs w:val="52"/>
    </w:rPr>
  </w:style>
  <w:style w:type="paragraph" w:styleId="25">
    <w:name w:val="annotation subject"/>
    <w:basedOn w:val="6"/>
    <w:next w:val="6"/>
    <w:link w:val="49"/>
    <w:unhideWhenUsed/>
    <w:qFormat/>
    <w:uiPriority w:val="0"/>
    <w:rPr>
      <w:rFonts w:ascii="Calibri" w:hAnsi="Calibri"/>
      <w:b/>
      <w:bCs/>
    </w:rPr>
  </w:style>
  <w:style w:type="table" w:styleId="27">
    <w:name w:val="Table Grid"/>
    <w:basedOn w:val="2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qFormat/>
    <w:uiPriority w:val="0"/>
    <w:rPr>
      <w:rFonts w:cs="Times New Roman"/>
      <w:b/>
      <w:bCs/>
    </w:rPr>
  </w:style>
  <w:style w:type="character" w:styleId="30">
    <w:name w:val="page number"/>
    <w:qFormat/>
    <w:uiPriority w:val="0"/>
  </w:style>
  <w:style w:type="character" w:styleId="31">
    <w:name w:val="FollowedHyperlink"/>
    <w:basedOn w:val="28"/>
    <w:semiHidden/>
    <w:unhideWhenUsed/>
    <w:qFormat/>
    <w:uiPriority w:val="99"/>
    <w:rPr>
      <w:color w:val="954F72" w:themeColor="followedHyperlink"/>
      <w:u w:val="single"/>
    </w:rPr>
  </w:style>
  <w:style w:type="character" w:styleId="32">
    <w:name w:val="Emphasis"/>
    <w:basedOn w:val="28"/>
    <w:qFormat/>
    <w:uiPriority w:val="20"/>
  </w:style>
  <w:style w:type="character" w:styleId="33">
    <w:name w:val="HTML Definition"/>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unhideWhenUsed/>
    <w:qFormat/>
    <w:uiPriority w:val="99"/>
    <w:rPr>
      <w:color w:val="0563C1" w:themeColor="hyperlink"/>
      <w:u w:val="single"/>
    </w:rPr>
  </w:style>
  <w:style w:type="character" w:styleId="36">
    <w:name w:val="HTML Code"/>
    <w:basedOn w:val="28"/>
    <w:semiHidden/>
    <w:unhideWhenUsed/>
    <w:qFormat/>
    <w:uiPriority w:val="99"/>
    <w:rPr>
      <w:rFonts w:ascii="serif" w:hAnsi="serif" w:eastAsia="serif" w:cs="serif"/>
      <w:sz w:val="21"/>
      <w:szCs w:val="21"/>
    </w:rPr>
  </w:style>
  <w:style w:type="character" w:styleId="37">
    <w:name w:val="annotation reference"/>
    <w:qFormat/>
    <w:uiPriority w:val="0"/>
    <w:rPr>
      <w:rFonts w:cs="Times New Roman"/>
      <w:sz w:val="21"/>
      <w:szCs w:val="21"/>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serif" w:hAnsi="serif" w:eastAsia="serif" w:cs="serif"/>
      <w:sz w:val="21"/>
      <w:szCs w:val="21"/>
    </w:rPr>
  </w:style>
  <w:style w:type="character" w:styleId="40">
    <w:name w:val="HTML Sample"/>
    <w:basedOn w:val="28"/>
    <w:semiHidden/>
    <w:unhideWhenUsed/>
    <w:qFormat/>
    <w:uiPriority w:val="99"/>
    <w:rPr>
      <w:rFonts w:hint="default" w:ascii="serif" w:hAnsi="serif" w:eastAsia="serif" w:cs="serif"/>
      <w:sz w:val="21"/>
      <w:szCs w:val="21"/>
    </w:rPr>
  </w:style>
  <w:style w:type="character" w:customStyle="1" w:styleId="41">
    <w:name w:val="页眉 Char"/>
    <w:basedOn w:val="28"/>
    <w:link w:val="16"/>
    <w:qFormat/>
    <w:uiPriority w:val="0"/>
    <w:rPr>
      <w:sz w:val="18"/>
      <w:szCs w:val="18"/>
    </w:rPr>
  </w:style>
  <w:style w:type="character" w:customStyle="1" w:styleId="42">
    <w:name w:val="页脚 Char"/>
    <w:basedOn w:val="28"/>
    <w:link w:val="15"/>
    <w:qFormat/>
    <w:uiPriority w:val="99"/>
    <w:rPr>
      <w:sz w:val="18"/>
      <w:szCs w:val="18"/>
    </w:rPr>
  </w:style>
  <w:style w:type="character" w:customStyle="1" w:styleId="43">
    <w:name w:val="批注框文本 Char"/>
    <w:basedOn w:val="28"/>
    <w:link w:val="14"/>
    <w:qFormat/>
    <w:uiPriority w:val="0"/>
    <w:rPr>
      <w:sz w:val="18"/>
      <w:szCs w:val="18"/>
    </w:rPr>
  </w:style>
  <w:style w:type="character" w:customStyle="1" w:styleId="44">
    <w:name w:val="标题 1 Char"/>
    <w:basedOn w:val="28"/>
    <w:link w:val="2"/>
    <w:qFormat/>
    <w:uiPriority w:val="0"/>
    <w:rPr>
      <w:rFonts w:ascii="宋体" w:hAnsi="宋体" w:eastAsia="黑体" w:cs="Times New Roman"/>
      <w:bCs/>
      <w:color w:val="000000"/>
      <w:kern w:val="0"/>
      <w:sz w:val="44"/>
      <w:szCs w:val="28"/>
      <w:lang w:val="zh-CN" w:eastAsia="zh-CN"/>
    </w:rPr>
  </w:style>
  <w:style w:type="character" w:customStyle="1" w:styleId="45">
    <w:name w:val="标题 2 Char"/>
    <w:basedOn w:val="28"/>
    <w:link w:val="3"/>
    <w:qFormat/>
    <w:uiPriority w:val="0"/>
    <w:rPr>
      <w:rFonts w:ascii="宋体" w:hAnsi="宋体" w:eastAsia="宋体" w:cs="Times New Roman"/>
      <w:b/>
      <w:bCs/>
      <w:color w:val="000000"/>
      <w:kern w:val="0"/>
      <w:sz w:val="20"/>
      <w:szCs w:val="21"/>
      <w:lang w:val="zh-CN" w:eastAsia="zh-CN"/>
    </w:rPr>
  </w:style>
  <w:style w:type="character" w:customStyle="1" w:styleId="46">
    <w:name w:val="标题 3 Char"/>
    <w:basedOn w:val="28"/>
    <w:link w:val="4"/>
    <w:qFormat/>
    <w:uiPriority w:val="0"/>
    <w:rPr>
      <w:rFonts w:ascii="Times New Roman" w:hAnsi="Times New Roman" w:eastAsia="黑体" w:cs="Times New Roman"/>
      <w:bCs/>
      <w:color w:val="000000"/>
      <w:kern w:val="0"/>
      <w:sz w:val="20"/>
      <w:szCs w:val="32"/>
      <w:lang w:val="zh-CN" w:eastAsia="zh-CN"/>
    </w:rPr>
  </w:style>
  <w:style w:type="character" w:customStyle="1" w:styleId="47">
    <w:name w:val="Char Char1"/>
    <w:qFormat/>
    <w:uiPriority w:val="0"/>
    <w:rPr>
      <w:rFonts w:eastAsia="宋体"/>
      <w:kern w:val="2"/>
      <w:sz w:val="24"/>
      <w:szCs w:val="24"/>
      <w:lang w:val="en-US" w:eastAsia="zh-CN" w:bidi="ar-SA"/>
    </w:rPr>
  </w:style>
  <w:style w:type="character" w:customStyle="1" w:styleId="48">
    <w:name w:val="页脚 Char1"/>
    <w:qFormat/>
    <w:uiPriority w:val="0"/>
    <w:rPr>
      <w:kern w:val="2"/>
      <w:sz w:val="18"/>
      <w:szCs w:val="18"/>
    </w:rPr>
  </w:style>
  <w:style w:type="character" w:customStyle="1" w:styleId="49">
    <w:name w:val="批注主题 Char"/>
    <w:link w:val="25"/>
    <w:qFormat/>
    <w:uiPriority w:val="0"/>
    <w:rPr>
      <w:rFonts w:ascii="Calibri" w:hAnsi="Calibri"/>
      <w:b/>
      <w:bCs/>
      <w:szCs w:val="24"/>
    </w:rPr>
  </w:style>
  <w:style w:type="character" w:customStyle="1" w:styleId="50">
    <w:name w:val="wenben1"/>
    <w:qFormat/>
    <w:uiPriority w:val="0"/>
    <w:rPr>
      <w:color w:val="333333"/>
      <w:spacing w:val="330"/>
      <w:sz w:val="21"/>
      <w:szCs w:val="21"/>
    </w:rPr>
  </w:style>
  <w:style w:type="character" w:customStyle="1" w:styleId="51">
    <w:name w:val="链接"/>
    <w:qFormat/>
    <w:uiPriority w:val="0"/>
    <w:rPr>
      <w:rFonts w:ascii="Times New Roman" w:eastAsia="宋体"/>
      <w:color w:val="0000FF"/>
      <w:sz w:val="21"/>
      <w:u w:val="single" w:color="0000FF"/>
      <w:vertAlign w:val="baseline"/>
      <w:lang w:val="en-US" w:eastAsia="zh-CN"/>
    </w:rPr>
  </w:style>
  <w:style w:type="character" w:customStyle="1" w:styleId="52">
    <w:name w:val="正文文本 Char1"/>
    <w:qFormat/>
    <w:uiPriority w:val="0"/>
    <w:rPr>
      <w:kern w:val="2"/>
      <w:sz w:val="21"/>
      <w:szCs w:val="24"/>
    </w:rPr>
  </w:style>
  <w:style w:type="character" w:customStyle="1" w:styleId="53">
    <w:name w:val="页眉 Char1"/>
    <w:qFormat/>
    <w:uiPriority w:val="0"/>
    <w:rPr>
      <w:kern w:val="2"/>
      <w:sz w:val="18"/>
      <w:szCs w:val="18"/>
    </w:rPr>
  </w:style>
  <w:style w:type="character" w:customStyle="1" w:styleId="54">
    <w:name w:val="副标题 Char1"/>
    <w:qFormat/>
    <w:uiPriority w:val="0"/>
    <w:rPr>
      <w:rFonts w:ascii="Cambria" w:hAnsi="Cambria" w:cs="Times New Roman"/>
      <w:b/>
      <w:bCs/>
      <w:kern w:val="28"/>
      <w:sz w:val="32"/>
      <w:szCs w:val="32"/>
    </w:rPr>
  </w:style>
  <w:style w:type="character" w:customStyle="1" w:styleId="55">
    <w:name w:val="Char Char"/>
    <w:qFormat/>
    <w:uiPriority w:val="0"/>
    <w:rPr>
      <w:rFonts w:eastAsia="宋体"/>
      <w:sz w:val="24"/>
      <w:szCs w:val="24"/>
      <w:lang w:val="en-US" w:eastAsia="zh-CN" w:bidi="ar-SA"/>
    </w:rPr>
  </w:style>
  <w:style w:type="character" w:customStyle="1" w:styleId="56">
    <w:name w:val="批注文字 Char"/>
    <w:qFormat/>
    <w:uiPriority w:val="0"/>
    <w:rPr>
      <w:rFonts w:ascii="Times New Roman" w:hAnsi="Times New Roman" w:eastAsia="宋体" w:cs="Times New Roman"/>
      <w:szCs w:val="24"/>
    </w:rPr>
  </w:style>
  <w:style w:type="paragraph" w:customStyle="1" w:styleId="57">
    <w:name w:val="_Style 26"/>
    <w:unhideWhenUsed/>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58">
    <w:name w:val="批注主题 Char1"/>
    <w:qFormat/>
    <w:uiPriority w:val="0"/>
    <w:rPr>
      <w:b/>
      <w:bCs/>
      <w:kern w:val="2"/>
      <w:sz w:val="21"/>
      <w:szCs w:val="24"/>
    </w:rPr>
  </w:style>
  <w:style w:type="character" w:customStyle="1" w:styleId="59">
    <w:name w:val="正文文本缩进 Char1"/>
    <w:qFormat/>
    <w:uiPriority w:val="0"/>
    <w:rPr>
      <w:kern w:val="2"/>
      <w:sz w:val="21"/>
      <w:szCs w:val="24"/>
    </w:rPr>
  </w:style>
  <w:style w:type="character" w:customStyle="1" w:styleId="60">
    <w:name w:val="日期 Char1"/>
    <w:qFormat/>
    <w:uiPriority w:val="0"/>
    <w:rPr>
      <w:kern w:val="2"/>
      <w:sz w:val="21"/>
      <w:szCs w:val="24"/>
    </w:rPr>
  </w:style>
  <w:style w:type="character" w:customStyle="1" w:styleId="61">
    <w:name w:val="纯文本 Char1"/>
    <w:qFormat/>
    <w:uiPriority w:val="0"/>
    <w:rPr>
      <w:rFonts w:ascii="宋体" w:hAnsi="Courier New" w:cs="Courier New"/>
      <w:kern w:val="2"/>
      <w:sz w:val="21"/>
      <w:szCs w:val="21"/>
    </w:rPr>
  </w:style>
  <w:style w:type="character" w:customStyle="1" w:styleId="62">
    <w:name w:val="正文文本 Char"/>
    <w:link w:val="7"/>
    <w:qFormat/>
    <w:uiPriority w:val="0"/>
    <w:rPr>
      <w:rFonts w:ascii="宋体" w:hAnsi="宋体"/>
      <w:color w:val="000000"/>
      <w:sz w:val="18"/>
      <w:szCs w:val="18"/>
    </w:rPr>
  </w:style>
  <w:style w:type="character" w:customStyle="1" w:styleId="63">
    <w:name w:val="lemmatitleh11"/>
    <w:qFormat/>
    <w:uiPriority w:val="0"/>
  </w:style>
  <w:style w:type="character" w:customStyle="1" w:styleId="64">
    <w:name w:val="文档结构图 Char1"/>
    <w:qFormat/>
    <w:uiPriority w:val="0"/>
    <w:rPr>
      <w:rFonts w:ascii="宋体"/>
      <w:kern w:val="2"/>
      <w:sz w:val="18"/>
      <w:szCs w:val="18"/>
    </w:rPr>
  </w:style>
  <w:style w:type="character" w:customStyle="1" w:styleId="65">
    <w:name w:val="批注框文本 Char1"/>
    <w:qFormat/>
    <w:uiPriority w:val="0"/>
    <w:rPr>
      <w:kern w:val="2"/>
      <w:sz w:val="18"/>
      <w:szCs w:val="18"/>
    </w:rPr>
  </w:style>
  <w:style w:type="character" w:customStyle="1" w:styleId="66">
    <w:name w:val="正文文本 2 Char1"/>
    <w:qFormat/>
    <w:uiPriority w:val="0"/>
    <w:rPr>
      <w:kern w:val="2"/>
      <w:sz w:val="21"/>
      <w:szCs w:val="24"/>
    </w:rPr>
  </w:style>
  <w:style w:type="character" w:customStyle="1" w:styleId="67">
    <w:name w:val="black1"/>
    <w:qFormat/>
    <w:uiPriority w:val="0"/>
    <w:rPr>
      <w:color w:val="000000"/>
    </w:rPr>
  </w:style>
  <w:style w:type="character" w:customStyle="1" w:styleId="68">
    <w:name w:val="正文文本缩进 3 Char1"/>
    <w:qFormat/>
    <w:uiPriority w:val="0"/>
    <w:rPr>
      <w:kern w:val="2"/>
      <w:sz w:val="16"/>
      <w:szCs w:val="16"/>
    </w:rPr>
  </w:style>
  <w:style w:type="character" w:customStyle="1" w:styleId="69">
    <w:name w:val="正文文本缩进 2 Char1"/>
    <w:qFormat/>
    <w:uiPriority w:val="0"/>
    <w:rPr>
      <w:kern w:val="2"/>
      <w:sz w:val="21"/>
      <w:szCs w:val="24"/>
    </w:rPr>
  </w:style>
  <w:style w:type="character" w:customStyle="1" w:styleId="70">
    <w:name w:val="批注文字 Char1"/>
    <w:qFormat/>
    <w:uiPriority w:val="0"/>
    <w:rPr>
      <w:kern w:val="2"/>
      <w:sz w:val="21"/>
      <w:szCs w:val="24"/>
    </w:rPr>
  </w:style>
  <w:style w:type="character" w:customStyle="1" w:styleId="71">
    <w:name w:val="无间隔 Char"/>
    <w:link w:val="72"/>
    <w:uiPriority w:val="1"/>
    <w:rPr>
      <w:sz w:val="22"/>
    </w:rPr>
  </w:style>
  <w:style w:type="paragraph" w:styleId="72">
    <w:name w:val="No Spacing"/>
    <w:link w:val="71"/>
    <w:qFormat/>
    <w:uiPriority w:val="1"/>
    <w:pPr>
      <w:spacing w:line="360" w:lineRule="exact"/>
    </w:pPr>
    <w:rPr>
      <w:rFonts w:asciiTheme="minorHAnsi" w:hAnsiTheme="minorHAnsi" w:eastAsiaTheme="minorEastAsia" w:cstheme="minorBidi"/>
      <w:kern w:val="2"/>
      <w:sz w:val="22"/>
      <w:szCs w:val="22"/>
      <w:lang w:val="en-US" w:eastAsia="zh-CN" w:bidi="ar-SA"/>
    </w:rPr>
  </w:style>
  <w:style w:type="character" w:customStyle="1" w:styleId="73">
    <w:name w:val="HTML 预设格式 Char"/>
    <w:link w:val="22"/>
    <w:qFormat/>
    <w:uiPriority w:val="99"/>
    <w:rPr>
      <w:rFonts w:ascii="宋体" w:hAnsi="宋体" w:cs="宋体"/>
      <w:sz w:val="24"/>
      <w:szCs w:val="24"/>
    </w:rPr>
  </w:style>
  <w:style w:type="character" w:customStyle="1" w:styleId="74">
    <w:name w:val="文档结构图 Char"/>
    <w:link w:val="5"/>
    <w:qFormat/>
    <w:uiPriority w:val="0"/>
    <w:rPr>
      <w:szCs w:val="24"/>
      <w:shd w:val="clear" w:color="auto" w:fill="000080"/>
    </w:rPr>
  </w:style>
  <w:style w:type="character" w:customStyle="1" w:styleId="75">
    <w:name w:val="Char Char11"/>
    <w:qFormat/>
    <w:uiPriority w:val="0"/>
    <w:rPr>
      <w:rFonts w:eastAsia="宋体"/>
      <w:kern w:val="2"/>
      <w:sz w:val="24"/>
      <w:szCs w:val="24"/>
      <w:lang w:val="en-US" w:eastAsia="zh-CN" w:bidi="ar-SA"/>
    </w:rPr>
  </w:style>
  <w:style w:type="character" w:customStyle="1" w:styleId="76">
    <w:name w:val="正文文本缩进 Char"/>
    <w:link w:val="8"/>
    <w:qFormat/>
    <w:uiPriority w:val="0"/>
    <w:rPr>
      <w:rFonts w:ascii="仿宋_GB2312" w:hAnsi="宋体" w:eastAsia="仿宋_GB2312"/>
      <w:sz w:val="28"/>
      <w:szCs w:val="28"/>
    </w:rPr>
  </w:style>
  <w:style w:type="character" w:customStyle="1" w:styleId="77">
    <w:name w:val="正文文本缩进 2 Char"/>
    <w:link w:val="13"/>
    <w:qFormat/>
    <w:uiPriority w:val="0"/>
    <w:rPr>
      <w:sz w:val="24"/>
      <w:szCs w:val="24"/>
    </w:rPr>
  </w:style>
  <w:style w:type="character" w:customStyle="1" w:styleId="78">
    <w:name w:val="标题 Char1"/>
    <w:qFormat/>
    <w:uiPriority w:val="0"/>
    <w:rPr>
      <w:rFonts w:ascii="Cambria" w:hAnsi="Cambria" w:cs="Times New Roman"/>
      <w:b/>
      <w:bCs/>
      <w:kern w:val="2"/>
      <w:sz w:val="32"/>
      <w:szCs w:val="32"/>
    </w:rPr>
  </w:style>
  <w:style w:type="character" w:customStyle="1" w:styleId="79">
    <w:name w:val="正文文本缩进 3 Char"/>
    <w:link w:val="19"/>
    <w:qFormat/>
    <w:uiPriority w:val="0"/>
    <w:rPr>
      <w:rFonts w:ascii="仿宋_GB2312" w:hAnsi="宋体" w:eastAsia="仿宋_GB2312"/>
      <w:color w:val="000000"/>
      <w:sz w:val="28"/>
      <w:szCs w:val="28"/>
    </w:rPr>
  </w:style>
  <w:style w:type="character" w:customStyle="1" w:styleId="80">
    <w:name w:val="超级链接"/>
    <w:qFormat/>
    <w:uiPriority w:val="0"/>
    <w:rPr>
      <w:rFonts w:ascii="Times New Roman" w:eastAsia="宋体"/>
      <w:color w:val="0000FF"/>
      <w:sz w:val="21"/>
      <w:u w:val="single" w:color="0000FF"/>
      <w:vertAlign w:val="baseline"/>
      <w:lang w:val="en-US" w:eastAsia="zh-CN"/>
    </w:rPr>
  </w:style>
  <w:style w:type="character" w:customStyle="1" w:styleId="81">
    <w:name w:val="apple-converted-space"/>
    <w:qFormat/>
    <w:uiPriority w:val="0"/>
  </w:style>
  <w:style w:type="character" w:customStyle="1" w:styleId="82">
    <w:name w:val="纯文本 Char"/>
    <w:link w:val="11"/>
    <w:qFormat/>
    <w:uiPriority w:val="0"/>
    <w:rPr>
      <w:rFonts w:ascii="宋体" w:hAnsi="宋体"/>
      <w:sz w:val="24"/>
      <w:szCs w:val="24"/>
    </w:rPr>
  </w:style>
  <w:style w:type="character" w:customStyle="1" w:styleId="83">
    <w:name w:val="批注文字 Char2"/>
    <w:link w:val="6"/>
    <w:qFormat/>
    <w:uiPriority w:val="0"/>
    <w:rPr>
      <w:szCs w:val="24"/>
    </w:rPr>
  </w:style>
  <w:style w:type="character" w:customStyle="1" w:styleId="84">
    <w:name w:val="正文文本 2 Char"/>
    <w:link w:val="21"/>
    <w:qFormat/>
    <w:uiPriority w:val="0"/>
    <w:rPr>
      <w:sz w:val="24"/>
    </w:rPr>
  </w:style>
  <w:style w:type="character" w:customStyle="1" w:styleId="85">
    <w:name w:val="日期 Char"/>
    <w:link w:val="12"/>
    <w:qFormat/>
    <w:uiPriority w:val="0"/>
    <w:rPr>
      <w:szCs w:val="24"/>
    </w:rPr>
  </w:style>
  <w:style w:type="character" w:customStyle="1" w:styleId="86">
    <w:name w:val="副标题 Char"/>
    <w:link w:val="18"/>
    <w:qFormat/>
    <w:uiPriority w:val="11"/>
    <w:rPr>
      <w:rFonts w:ascii="Cambria" w:hAnsi="Cambria"/>
      <w:i/>
      <w:iCs/>
      <w:color w:val="4F81BD"/>
      <w:spacing w:val="15"/>
      <w:sz w:val="24"/>
      <w:szCs w:val="24"/>
    </w:rPr>
  </w:style>
  <w:style w:type="character" w:customStyle="1" w:styleId="87">
    <w:name w:val="Char Char2"/>
    <w:qFormat/>
    <w:uiPriority w:val="0"/>
    <w:rPr>
      <w:rFonts w:eastAsia="宋体"/>
      <w:sz w:val="24"/>
      <w:szCs w:val="24"/>
      <w:lang w:val="en-US" w:eastAsia="zh-CN" w:bidi="ar-SA"/>
    </w:rPr>
  </w:style>
  <w:style w:type="character" w:customStyle="1" w:styleId="88">
    <w:name w:val="标题 Char"/>
    <w:link w:val="24"/>
    <w:qFormat/>
    <w:uiPriority w:val="10"/>
    <w:rPr>
      <w:rFonts w:ascii="Cambria" w:hAnsi="Cambria"/>
      <w:color w:val="17365D"/>
      <w:spacing w:val="5"/>
      <w:kern w:val="28"/>
      <w:sz w:val="52"/>
      <w:szCs w:val="52"/>
    </w:rPr>
  </w:style>
  <w:style w:type="paragraph" w:customStyle="1" w:styleId="89">
    <w:name w:val="目录2"/>
    <w:basedOn w:val="1"/>
    <w:qFormat/>
    <w:uiPriority w:val="0"/>
    <w:pPr>
      <w:widowControl/>
      <w:tabs>
        <w:tab w:val="left" w:leader="dot" w:pos="7370"/>
      </w:tabs>
      <w:spacing w:line="317" w:lineRule="atLeast"/>
      <w:ind w:firstLine="209"/>
      <w:textAlignment w:val="baseline"/>
    </w:pPr>
    <w:rPr>
      <w:rFonts w:ascii="Times New Roman" w:hAnsi="Times New Roman" w:eastAsia="宋体" w:cs="Times New Roman"/>
      <w:color w:val="000000"/>
      <w:kern w:val="0"/>
      <w:szCs w:val="20"/>
      <w:u w:color="000000"/>
    </w:rPr>
  </w:style>
  <w:style w:type="character" w:customStyle="1" w:styleId="90">
    <w:name w:val="正文文本缩进 2 Char2"/>
    <w:basedOn w:val="28"/>
    <w:semiHidden/>
    <w:qFormat/>
    <w:uiPriority w:val="99"/>
  </w:style>
  <w:style w:type="character" w:customStyle="1" w:styleId="91">
    <w:name w:val="正文文本缩进 Char2"/>
    <w:basedOn w:val="28"/>
    <w:semiHidden/>
    <w:qFormat/>
    <w:uiPriority w:val="99"/>
  </w:style>
  <w:style w:type="paragraph" w:customStyle="1" w:styleId="92">
    <w:name w:val="列出段落1"/>
    <w:basedOn w:val="1"/>
    <w:qFormat/>
    <w:uiPriority w:val="0"/>
    <w:pPr>
      <w:widowControl/>
      <w:spacing w:line="360" w:lineRule="exact"/>
      <w:ind w:firstLine="420" w:firstLineChars="200"/>
      <w:jc w:val="left"/>
    </w:pPr>
    <w:rPr>
      <w:rFonts w:ascii="Times New Roman" w:hAnsi="Times New Roman" w:eastAsia="宋体" w:cs="Times New Roman"/>
      <w:szCs w:val="24"/>
    </w:rPr>
  </w:style>
  <w:style w:type="paragraph" w:customStyle="1" w:styleId="93">
    <w:name w:val="文章总标题"/>
    <w:basedOn w:val="1"/>
    <w:uiPriority w:val="0"/>
    <w:pPr>
      <w:widowControl/>
      <w:spacing w:before="566" w:after="544" w:line="566" w:lineRule="atLeast"/>
      <w:jc w:val="center"/>
      <w:textAlignment w:val="baseline"/>
    </w:pPr>
    <w:rPr>
      <w:rFonts w:ascii="Arial" w:hAnsi="Times New Roman" w:eastAsia="黑体" w:cs="Times New Roman"/>
      <w:color w:val="000000"/>
      <w:kern w:val="0"/>
      <w:sz w:val="54"/>
      <w:szCs w:val="20"/>
      <w:u w:color="000000"/>
    </w:rPr>
  </w:style>
  <w:style w:type="paragraph" w:customStyle="1" w:styleId="94">
    <w:name w:val="目录3"/>
    <w:basedOn w:val="1"/>
    <w:uiPriority w:val="0"/>
    <w:pPr>
      <w:widowControl/>
      <w:tabs>
        <w:tab w:val="left" w:leader="dot" w:pos="7370"/>
      </w:tabs>
      <w:spacing w:line="317" w:lineRule="atLeast"/>
      <w:ind w:firstLine="419"/>
      <w:textAlignment w:val="baseline"/>
    </w:pPr>
    <w:rPr>
      <w:rFonts w:ascii="Times New Roman" w:hAnsi="Times New Roman" w:eastAsia="宋体" w:cs="Times New Roman"/>
      <w:color w:val="000000"/>
      <w:kern w:val="0"/>
      <w:szCs w:val="20"/>
      <w:u w:color="000000"/>
    </w:rPr>
  </w:style>
  <w:style w:type="character" w:customStyle="1" w:styleId="95">
    <w:name w:val="日期 Char2"/>
    <w:basedOn w:val="28"/>
    <w:semiHidden/>
    <w:qFormat/>
    <w:uiPriority w:val="99"/>
  </w:style>
  <w:style w:type="paragraph" w:customStyle="1" w:styleId="96">
    <w:name w:val="Char Char Char"/>
    <w:basedOn w:val="1"/>
    <w:qFormat/>
    <w:uiPriority w:val="0"/>
    <w:pPr>
      <w:spacing w:line="360" w:lineRule="auto"/>
      <w:jc w:val="left"/>
    </w:pPr>
    <w:rPr>
      <w:rFonts w:ascii="Times New Roman" w:hAnsi="Times New Roman" w:eastAsia="宋体" w:cs="Times New Roman"/>
      <w:szCs w:val="24"/>
    </w:rPr>
  </w:style>
  <w:style w:type="character" w:customStyle="1" w:styleId="97">
    <w:name w:val="正文文本 Char2"/>
    <w:basedOn w:val="28"/>
    <w:semiHidden/>
    <w:qFormat/>
    <w:uiPriority w:val="99"/>
  </w:style>
  <w:style w:type="paragraph" w:customStyle="1" w:styleId="98">
    <w:name w:val="Char Char1 Char"/>
    <w:basedOn w:val="2"/>
    <w:qFormat/>
    <w:uiPriority w:val="0"/>
    <w:pPr>
      <w:widowControl w:val="0"/>
      <w:snapToGrid w:val="0"/>
      <w:spacing w:before="240" w:beforeLines="0" w:after="240" w:afterLines="0" w:line="348" w:lineRule="auto"/>
      <w:jc w:val="both"/>
    </w:pPr>
    <w:rPr>
      <w:rFonts w:ascii="Tahoma" w:hAnsi="Tahoma" w:eastAsia="宋体"/>
      <w:b/>
      <w:bCs w:val="0"/>
      <w:color w:val="auto"/>
      <w:kern w:val="2"/>
      <w:sz w:val="24"/>
      <w:szCs w:val="20"/>
    </w:rPr>
  </w:style>
  <w:style w:type="paragraph" w:customStyle="1" w:styleId="99">
    <w:name w:val="章标题"/>
    <w:basedOn w:val="1"/>
    <w:qFormat/>
    <w:uiPriority w:val="0"/>
    <w:pPr>
      <w:widowControl/>
      <w:spacing w:before="158" w:after="153" w:line="323" w:lineRule="atLeast"/>
      <w:jc w:val="center"/>
      <w:textAlignment w:val="baseline"/>
    </w:pPr>
    <w:rPr>
      <w:rFonts w:ascii="Arial" w:hAnsi="Times New Roman" w:eastAsia="黑体" w:cs="Times New Roman"/>
      <w:color w:val="000000"/>
      <w:kern w:val="0"/>
      <w:sz w:val="31"/>
      <w:szCs w:val="20"/>
      <w:u w:color="000000"/>
    </w:rPr>
  </w:style>
  <w:style w:type="character" w:customStyle="1" w:styleId="100">
    <w:name w:val="文档结构图 Char2"/>
    <w:basedOn w:val="28"/>
    <w:semiHidden/>
    <w:qFormat/>
    <w:uiPriority w:val="99"/>
    <w:rPr>
      <w:rFonts w:ascii="宋体" w:eastAsia="宋体"/>
      <w:sz w:val="18"/>
      <w:szCs w:val="18"/>
    </w:rPr>
  </w:style>
  <w:style w:type="character" w:customStyle="1" w:styleId="101">
    <w:name w:val="正文文本缩进 3 Char2"/>
    <w:basedOn w:val="28"/>
    <w:semiHidden/>
    <w:qFormat/>
    <w:uiPriority w:val="99"/>
    <w:rPr>
      <w:sz w:val="16"/>
      <w:szCs w:val="16"/>
    </w:rPr>
  </w:style>
  <w:style w:type="paragraph" w:customStyle="1" w:styleId="102">
    <w:name w:val="样式 仿宋_GB2312 四号 行距: 多倍行距 1.25 字行"/>
    <w:basedOn w:val="1"/>
    <w:qFormat/>
    <w:uiPriority w:val="0"/>
    <w:pPr>
      <w:spacing w:line="300" w:lineRule="auto"/>
      <w:ind w:firstLine="560" w:firstLineChars="200"/>
    </w:pPr>
    <w:rPr>
      <w:rFonts w:ascii="仿宋_GB2312" w:hAnsi="Times New Roman" w:eastAsia="仿宋_GB2312" w:cs="宋体"/>
      <w:sz w:val="28"/>
      <w:szCs w:val="20"/>
    </w:rPr>
  </w:style>
  <w:style w:type="paragraph" w:customStyle="1" w:styleId="103">
    <w:name w:val="目录1"/>
    <w:basedOn w:val="1"/>
    <w:qFormat/>
    <w:uiPriority w:val="0"/>
    <w:pPr>
      <w:widowControl/>
      <w:tabs>
        <w:tab w:val="left" w:leader="dot" w:pos="8503"/>
      </w:tabs>
      <w:spacing w:after="136" w:line="289" w:lineRule="atLeast"/>
      <w:jc w:val="left"/>
      <w:textAlignment w:val="baseline"/>
    </w:pPr>
    <w:rPr>
      <w:rFonts w:ascii="Arial" w:hAnsi="Times New Roman" w:eastAsia="黑体" w:cs="Times New Roman"/>
      <w:color w:val="000000"/>
      <w:kern w:val="0"/>
      <w:sz w:val="28"/>
      <w:szCs w:val="20"/>
      <w:u w:color="000000"/>
    </w:rPr>
  </w:style>
  <w:style w:type="paragraph" w:customStyle="1" w:styleId="104">
    <w:name w:val="1"/>
    <w:basedOn w:val="1"/>
    <w:next w:val="21"/>
    <w:qFormat/>
    <w:uiPriority w:val="0"/>
    <w:pPr>
      <w:adjustRightInd w:val="0"/>
      <w:snapToGrid w:val="0"/>
      <w:jc w:val="center"/>
    </w:pPr>
    <w:rPr>
      <w:rFonts w:ascii="Times New Roman" w:hAnsi="Times New Roman" w:eastAsia="宋体" w:cs="Times New Roman"/>
      <w:szCs w:val="24"/>
    </w:rPr>
  </w:style>
  <w:style w:type="character" w:customStyle="1" w:styleId="105">
    <w:name w:val="正文文本 2 Char2"/>
    <w:basedOn w:val="28"/>
    <w:semiHidden/>
    <w:qFormat/>
    <w:uiPriority w:val="99"/>
  </w:style>
  <w:style w:type="paragraph" w:customStyle="1" w:styleId="106">
    <w:name w:val="样式1"/>
    <w:basedOn w:val="1"/>
    <w:qFormat/>
    <w:uiPriority w:val="0"/>
    <w:rPr>
      <w:rFonts w:ascii="Times New Roman" w:hAnsi="Times New Roman" w:eastAsia="宋体" w:cs="Times New Roman"/>
      <w:szCs w:val="24"/>
    </w:rPr>
  </w:style>
  <w:style w:type="character" w:customStyle="1" w:styleId="107">
    <w:name w:val="批注文字 Char3"/>
    <w:basedOn w:val="28"/>
    <w:semiHidden/>
    <w:qFormat/>
    <w:uiPriority w:val="99"/>
  </w:style>
  <w:style w:type="character" w:customStyle="1" w:styleId="108">
    <w:name w:val="HTML 预设格式 Char1"/>
    <w:basedOn w:val="28"/>
    <w:semiHidden/>
    <w:qFormat/>
    <w:uiPriority w:val="99"/>
    <w:rPr>
      <w:rFonts w:ascii="Courier New" w:hAnsi="Courier New" w:cs="Courier New"/>
      <w:sz w:val="20"/>
      <w:szCs w:val="20"/>
    </w:rPr>
  </w:style>
  <w:style w:type="character" w:customStyle="1" w:styleId="109">
    <w:name w:val="副标题 Char2"/>
    <w:basedOn w:val="28"/>
    <w:qFormat/>
    <w:uiPriority w:val="11"/>
    <w:rPr>
      <w:rFonts w:eastAsia="宋体" w:asciiTheme="majorHAnsi" w:hAnsiTheme="majorHAnsi" w:cstheme="majorBidi"/>
      <w:b/>
      <w:bCs/>
      <w:kern w:val="28"/>
      <w:sz w:val="32"/>
      <w:szCs w:val="32"/>
    </w:rPr>
  </w:style>
  <w:style w:type="paragraph" w:customStyle="1" w:styleId="110">
    <w:name w:val="Char Char Char1"/>
    <w:basedOn w:val="1"/>
    <w:qFormat/>
    <w:uiPriority w:val="0"/>
    <w:pPr>
      <w:spacing w:line="360" w:lineRule="auto"/>
      <w:jc w:val="left"/>
    </w:pPr>
    <w:rPr>
      <w:rFonts w:ascii="Times New Roman" w:hAnsi="Times New Roman" w:eastAsia="宋体" w:cs="Times New Roman"/>
      <w:szCs w:val="24"/>
    </w:rPr>
  </w:style>
  <w:style w:type="paragraph" w:customStyle="1" w:styleId="111">
    <w:name w:val="SF小标题"/>
    <w:basedOn w:val="1"/>
    <w:qFormat/>
    <w:uiPriority w:val="0"/>
    <w:pPr>
      <w:widowControl/>
      <w:spacing w:line="540" w:lineRule="exact"/>
      <w:ind w:firstLine="600" w:firstLineChars="200"/>
      <w:jc w:val="left"/>
    </w:pPr>
    <w:rPr>
      <w:rFonts w:ascii="仿宋_GB2312" w:hAnsi="Times New Roman" w:eastAsia="仿宋_GB2312" w:cs="宋体"/>
      <w:kern w:val="0"/>
      <w:sz w:val="30"/>
      <w:szCs w:val="30"/>
      <w:lang w:val="zh-CN"/>
    </w:rPr>
  </w:style>
  <w:style w:type="character" w:customStyle="1" w:styleId="112">
    <w:name w:val="批注主题 Char2"/>
    <w:basedOn w:val="107"/>
    <w:semiHidden/>
    <w:qFormat/>
    <w:uiPriority w:val="99"/>
    <w:rPr>
      <w:b/>
      <w:bCs/>
    </w:rPr>
  </w:style>
  <w:style w:type="paragraph" w:customStyle="1" w:styleId="113">
    <w:name w:val="xl24"/>
    <w:basedOn w:val="1"/>
    <w:qFormat/>
    <w:uiPriority w:val="0"/>
    <w:pPr>
      <w:widowControl/>
      <w:spacing w:before="100" w:beforeAutospacing="1" w:after="100" w:afterAutospacing="1"/>
      <w:jc w:val="center"/>
      <w:textAlignment w:val="center"/>
    </w:pPr>
    <w:rPr>
      <w:rFonts w:ascii="宋体" w:hAnsi="宋体" w:eastAsia="宋体" w:cs="Times New Roman"/>
      <w:kern w:val="0"/>
      <w:sz w:val="22"/>
    </w:rPr>
  </w:style>
  <w:style w:type="paragraph" w:customStyle="1" w:styleId="114">
    <w:name w:val="目录标题"/>
    <w:basedOn w:val="1"/>
    <w:qFormat/>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szCs w:val="20"/>
      <w:u w:color="000000"/>
    </w:rPr>
  </w:style>
  <w:style w:type="paragraph" w:customStyle="1" w:styleId="115">
    <w:name w:val="Char Char1 Char1"/>
    <w:basedOn w:val="2"/>
    <w:qFormat/>
    <w:uiPriority w:val="0"/>
    <w:pPr>
      <w:widowControl w:val="0"/>
      <w:snapToGrid w:val="0"/>
      <w:spacing w:before="0" w:beforeLines="0" w:after="0" w:afterLines="0" w:line="348" w:lineRule="auto"/>
      <w:jc w:val="both"/>
    </w:pPr>
    <w:rPr>
      <w:rFonts w:ascii="Tahoma" w:hAnsi="Tahoma" w:eastAsia="宋体"/>
      <w:b/>
      <w:bCs w:val="0"/>
      <w:color w:val="auto"/>
      <w:kern w:val="2"/>
      <w:sz w:val="24"/>
      <w:szCs w:val="20"/>
    </w:rPr>
  </w:style>
  <w:style w:type="character" w:customStyle="1" w:styleId="116">
    <w:name w:val="标题 Char2"/>
    <w:basedOn w:val="28"/>
    <w:qFormat/>
    <w:uiPriority w:val="10"/>
    <w:rPr>
      <w:rFonts w:eastAsia="宋体" w:asciiTheme="majorHAnsi" w:hAnsiTheme="majorHAnsi" w:cstheme="majorBidi"/>
      <w:b/>
      <w:bCs/>
      <w:sz w:val="32"/>
      <w:szCs w:val="32"/>
    </w:rPr>
  </w:style>
  <w:style w:type="character" w:customStyle="1" w:styleId="117">
    <w:name w:val="纯文本 Char2"/>
    <w:basedOn w:val="28"/>
    <w:semiHidden/>
    <w:qFormat/>
    <w:uiPriority w:val="99"/>
    <w:rPr>
      <w:rFonts w:ascii="宋体" w:hAnsi="Courier New" w:eastAsia="宋体" w:cs="Courier New"/>
      <w:szCs w:val="21"/>
    </w:rPr>
  </w:style>
  <w:style w:type="paragraph" w:customStyle="1" w:styleId="118">
    <w:name w:val="马"/>
    <w:basedOn w:val="1"/>
    <w:qFormat/>
    <w:uiPriority w:val="0"/>
    <w:pPr>
      <w:spacing w:line="320" w:lineRule="atLeast"/>
      <w:jc w:val="center"/>
    </w:pPr>
    <w:rPr>
      <w:rFonts w:ascii="Times New Roman" w:hAnsi="Times New Roman" w:eastAsia="宋体" w:cs="Times New Roman"/>
      <w:b/>
      <w:bCs/>
      <w:sz w:val="30"/>
      <w:szCs w:val="24"/>
    </w:rPr>
  </w:style>
  <w:style w:type="paragraph" w:customStyle="1" w:styleId="119">
    <w:name w:val="Char Char Char Char"/>
    <w:basedOn w:val="1"/>
    <w:qFormat/>
    <w:uiPriority w:val="0"/>
    <w:rPr>
      <w:rFonts w:ascii="Tahoma" w:hAnsi="Tahoma" w:eastAsia="宋体" w:cs="Times New Roman"/>
      <w:sz w:val="24"/>
      <w:szCs w:val="20"/>
    </w:rPr>
  </w:style>
  <w:style w:type="paragraph" w:customStyle="1" w:styleId="120">
    <w:name w:val="目录4"/>
    <w:basedOn w:val="1"/>
    <w:qFormat/>
    <w:uiPriority w:val="0"/>
    <w:pPr>
      <w:widowControl/>
      <w:tabs>
        <w:tab w:val="left" w:leader="dot" w:pos="7370"/>
      </w:tabs>
      <w:spacing w:line="317" w:lineRule="atLeast"/>
      <w:ind w:firstLine="629"/>
      <w:textAlignment w:val="baseline"/>
    </w:pPr>
    <w:rPr>
      <w:rFonts w:ascii="Times New Roman" w:hAnsi="Times New Roman" w:eastAsia="宋体" w:cs="Times New Roman"/>
      <w:color w:val="000000"/>
      <w:kern w:val="0"/>
      <w:szCs w:val="20"/>
      <w:u w:color="000000"/>
    </w:rPr>
  </w:style>
  <w:style w:type="paragraph" w:customStyle="1" w:styleId="121">
    <w:name w:val="标题5"/>
    <w:basedOn w:val="1"/>
    <w:qFormat/>
    <w:uiPriority w:val="0"/>
    <w:pPr>
      <w:autoSpaceDE w:val="0"/>
      <w:autoSpaceDN w:val="0"/>
      <w:adjustRightInd w:val="0"/>
      <w:spacing w:line="310" w:lineRule="atLeast"/>
      <w:ind w:firstLine="425"/>
    </w:pPr>
    <w:rPr>
      <w:rFonts w:ascii="Arial" w:hAnsi="Arial" w:eastAsia="宋体" w:cs="Arial"/>
      <w:kern w:val="0"/>
      <w:szCs w:val="21"/>
    </w:rPr>
  </w:style>
  <w:style w:type="paragraph" w:customStyle="1" w:styleId="122">
    <w:name w:val="Char Char Char Char1"/>
    <w:basedOn w:val="1"/>
    <w:qFormat/>
    <w:uiPriority w:val="0"/>
    <w:rPr>
      <w:rFonts w:ascii="Tahoma" w:hAnsi="Tahoma" w:eastAsia="宋体" w:cs="Times New Roman"/>
      <w:sz w:val="24"/>
      <w:szCs w:val="20"/>
    </w:rPr>
  </w:style>
  <w:style w:type="paragraph" w:customStyle="1" w:styleId="123">
    <w:name w:val="_Style 49"/>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ma"/>
    <w:basedOn w:val="1"/>
    <w:qFormat/>
    <w:uiPriority w:val="0"/>
    <w:pPr>
      <w:spacing w:beforeLines="50" w:afterLines="50" w:line="320" w:lineRule="atLeast"/>
      <w:jc w:val="center"/>
    </w:pPr>
    <w:rPr>
      <w:rFonts w:ascii="Times New Roman" w:hAnsi="Times New Roman" w:eastAsia="宋体" w:cs="Times New Roman"/>
      <w:b/>
      <w:bCs/>
      <w:sz w:val="30"/>
      <w:szCs w:val="24"/>
    </w:rPr>
  </w:style>
  <w:style w:type="paragraph" w:customStyle="1" w:styleId="125">
    <w:name w:val="文章附标题"/>
    <w:basedOn w:val="1"/>
    <w:qFormat/>
    <w:uiPriority w:val="0"/>
    <w:pPr>
      <w:widowControl/>
      <w:spacing w:before="187" w:after="175" w:line="374" w:lineRule="atLeast"/>
      <w:jc w:val="center"/>
      <w:textAlignment w:val="baseline"/>
    </w:pPr>
    <w:rPr>
      <w:rFonts w:ascii="Times New Roman" w:hAnsi="Times New Roman" w:eastAsia="宋体" w:cs="Times New Roman"/>
      <w:color w:val="000000"/>
      <w:kern w:val="0"/>
      <w:sz w:val="36"/>
      <w:szCs w:val="20"/>
      <w:u w:color="000000"/>
    </w:rPr>
  </w:style>
  <w:style w:type="paragraph" w:customStyle="1" w:styleId="126">
    <w:name w:val="2"/>
    <w:basedOn w:val="1"/>
    <w:next w:val="11"/>
    <w:qFormat/>
    <w:uiPriority w:val="0"/>
    <w:rPr>
      <w:rFonts w:ascii="宋体" w:hAnsi="Courier New" w:eastAsia="宋体" w:cs="Times New Roman"/>
      <w:szCs w:val="20"/>
    </w:rPr>
  </w:style>
  <w:style w:type="paragraph" w:styleId="127">
    <w:name w:val="List Paragraph"/>
    <w:basedOn w:val="1"/>
    <w:qFormat/>
    <w:uiPriority w:val="34"/>
    <w:pPr>
      <w:widowControl/>
      <w:spacing w:line="360" w:lineRule="exact"/>
      <w:ind w:firstLine="420" w:firstLineChars="200"/>
      <w:jc w:val="left"/>
    </w:pPr>
    <w:rPr>
      <w:rFonts w:ascii="Times New Roman" w:hAnsi="Times New Roman" w:eastAsia="宋体" w:cs="Times New Roman"/>
      <w:szCs w:val="24"/>
    </w:rPr>
  </w:style>
  <w:style w:type="paragraph" w:customStyle="1" w:styleId="128">
    <w:name w:val="小节标题"/>
    <w:basedOn w:val="1"/>
    <w:qFormat/>
    <w:uiPriority w:val="0"/>
    <w:pPr>
      <w:widowControl/>
      <w:spacing w:before="175" w:after="102" w:line="351" w:lineRule="atLeast"/>
      <w:textAlignment w:val="baseline"/>
    </w:pPr>
    <w:rPr>
      <w:rFonts w:ascii="Times New Roman" w:hAnsi="Times New Roman" w:eastAsia="黑体" w:cs="Times New Roman"/>
      <w:color w:val="000000"/>
      <w:kern w:val="0"/>
      <w:szCs w:val="20"/>
      <w:u w:color="000000"/>
    </w:rPr>
  </w:style>
  <w:style w:type="paragraph" w:customStyle="1" w:styleId="129">
    <w:name w:val="节标题"/>
    <w:basedOn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130">
    <w:name w:val="默认段落字体 Para Char"/>
    <w:basedOn w:val="1"/>
    <w:qFormat/>
    <w:uiPriority w:val="0"/>
    <w:pPr>
      <w:spacing w:before="50" w:beforeLines="50" w:after="50" w:afterLines="50"/>
      <w:jc w:val="left"/>
    </w:pPr>
    <w:rPr>
      <w:rFonts w:ascii="Times New Roman" w:hAnsi="Times New Roman" w:eastAsia="宋体" w:cs="Times New Roman"/>
      <w:sz w:val="30"/>
      <w:szCs w:val="32"/>
    </w:rPr>
  </w:style>
  <w:style w:type="character" w:customStyle="1" w:styleId="131">
    <w:name w:val="Char Char5"/>
    <w:qFormat/>
    <w:uiPriority w:val="0"/>
    <w:rPr>
      <w:rFonts w:ascii="仿宋_GB2312" w:hAnsi="宋体" w:eastAsia="仿宋_GB2312"/>
      <w:color w:val="000000"/>
      <w:sz w:val="28"/>
      <w:szCs w:val="28"/>
      <w:lang w:bidi="ar-SA"/>
    </w:rPr>
  </w:style>
  <w:style w:type="table" w:customStyle="1" w:styleId="132">
    <w:name w:val="网格型1"/>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3">
    <w:name w:val="fontborder"/>
    <w:basedOn w:val="28"/>
    <w:qFormat/>
    <w:uiPriority w:val="0"/>
    <w:rPr>
      <w:bdr w:val="single" w:color="000000" w:sz="6" w:space="0"/>
    </w:rPr>
  </w:style>
  <w:style w:type="character" w:customStyle="1" w:styleId="134">
    <w:name w:val="fontstrikethrough"/>
    <w:basedOn w:val="28"/>
    <w:qFormat/>
    <w:uiPriority w:val="0"/>
    <w:rPr>
      <w:strike/>
    </w:rPr>
  </w:style>
  <w:style w:type="character" w:customStyle="1" w:styleId="135">
    <w:name w:val="font0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8CE61-C6E3-498B-B877-F44BCEF4F9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3705</Words>
  <Characters>21124</Characters>
  <Lines>176</Lines>
  <Paragraphs>49</Paragraphs>
  <TotalTime>0</TotalTime>
  <ScaleCrop>false</ScaleCrop>
  <LinksUpToDate>false</LinksUpToDate>
  <CharactersWithSpaces>24780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2017-06-11T01:19:00Z</dcterms:created>
  <dc:creator>China</dc:creator>
  <cp:lastModifiedBy>Administrator</cp:lastModifiedBy>
  <cp:lastPrinted>2017-08-29T02:42:00Z</cp:lastPrinted>
  <dcterms:modified xsi:type="dcterms:W3CDTF">2019-08-26T08:05:05Z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