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440" w:lineRule="exact"/>
      </w:pPr>
    </w:p>
    <w:p>
      <w:pPr>
        <w:widowControl/>
        <w:spacing w:line="560" w:lineRule="exact"/>
        <w:jc w:val="left"/>
        <w:rPr>
          <w:rFonts w:eastAsia="仿宋_GB2312"/>
          <w:sz w:val="28"/>
          <w:szCs w:val="28"/>
        </w:rPr>
      </w:pPr>
    </w:p>
    <w:p>
      <w:pPr>
        <w:widowControl/>
        <w:spacing w:line="560" w:lineRule="exact"/>
        <w:jc w:val="left"/>
        <w:rPr>
          <w:rFonts w:eastAsia="仿宋_GB2312"/>
          <w:sz w:val="28"/>
          <w:szCs w:val="28"/>
        </w:rPr>
      </w:pPr>
    </w:p>
    <w:p>
      <w:pPr>
        <w:widowControl/>
        <w:spacing w:line="560" w:lineRule="exact"/>
        <w:ind w:firstLine="560" w:firstLineChars="200"/>
        <w:jc w:val="left"/>
        <w:rPr>
          <w:rFonts w:eastAsia="仿宋_GB2312"/>
          <w:sz w:val="28"/>
          <w:szCs w:val="28"/>
        </w:rPr>
      </w:pPr>
    </w:p>
    <w:p>
      <w:pPr>
        <w:widowControl/>
        <w:spacing w:line="560" w:lineRule="exact"/>
        <w:ind w:firstLine="560" w:firstLineChars="200"/>
        <w:jc w:val="left"/>
        <w:rPr>
          <w:rFonts w:eastAsia="仿宋_GB2312"/>
          <w:sz w:val="28"/>
          <w:szCs w:val="28"/>
        </w:rPr>
      </w:pPr>
    </w:p>
    <w:p>
      <w:pPr>
        <w:spacing w:beforeLines="100" w:line="440" w:lineRule="exact"/>
        <w:jc w:val="center"/>
        <w:outlineLvl w:val="1"/>
        <w:rPr>
          <w:rFonts w:eastAsia="仿宋_GB2312"/>
          <w:sz w:val="28"/>
          <w:szCs w:val="28"/>
          <w:lang w:val="en-GB"/>
        </w:rPr>
      </w:pPr>
      <w:r>
        <w:rPr>
          <w:rFonts w:eastAsia="黑体"/>
          <w:sz w:val="72"/>
          <w:szCs w:val="72"/>
          <w:lang w:val="en-GB"/>
        </w:rPr>
        <w:t>201</w:t>
      </w:r>
      <w:r>
        <w:rPr>
          <w:rFonts w:hint="eastAsia" w:eastAsia="黑体"/>
          <w:sz w:val="72"/>
          <w:szCs w:val="72"/>
          <w:lang w:val="en-GB"/>
        </w:rPr>
        <w:t>9</w:t>
      </w:r>
      <w:r>
        <w:rPr>
          <w:rFonts w:eastAsia="黑体"/>
          <w:sz w:val="72"/>
          <w:szCs w:val="72"/>
          <w:lang w:val="en-GB"/>
        </w:rPr>
        <w:t>级专业人才培养方案</w:t>
      </w:r>
    </w:p>
    <w:p>
      <w:pPr>
        <w:spacing w:beforeLines="100" w:line="440" w:lineRule="exact"/>
        <w:outlineLvl w:val="1"/>
        <w:rPr>
          <w:rFonts w:eastAsia="仿宋_GB2312"/>
          <w:sz w:val="28"/>
          <w:szCs w:val="28"/>
          <w:lang w:val="en-GB"/>
        </w:rPr>
      </w:pPr>
    </w:p>
    <w:p>
      <w:pPr>
        <w:spacing w:beforeLines="100" w:line="440" w:lineRule="exact"/>
        <w:outlineLvl w:val="1"/>
        <w:rPr>
          <w:rFonts w:eastAsia="仿宋_GB2312"/>
          <w:sz w:val="28"/>
          <w:szCs w:val="28"/>
          <w:lang w:val="en-GB"/>
        </w:rPr>
      </w:pPr>
    </w:p>
    <w:p>
      <w:pPr>
        <w:spacing w:beforeLines="100" w:line="440" w:lineRule="exact"/>
        <w:outlineLvl w:val="1"/>
        <w:rPr>
          <w:rFonts w:eastAsia="仿宋_GB2312"/>
          <w:sz w:val="28"/>
          <w:szCs w:val="28"/>
          <w:lang w:val="en-GB"/>
        </w:rPr>
      </w:pPr>
    </w:p>
    <w:p>
      <w:pPr>
        <w:spacing w:beforeLines="100" w:line="440" w:lineRule="exact"/>
        <w:outlineLvl w:val="1"/>
        <w:rPr>
          <w:rFonts w:eastAsia="仿宋_GB2312"/>
          <w:sz w:val="28"/>
          <w:szCs w:val="28"/>
          <w:lang w:val="en-GB"/>
        </w:rPr>
      </w:pPr>
    </w:p>
    <w:p>
      <w:pPr>
        <w:autoSpaceDE w:val="0"/>
        <w:autoSpaceDN w:val="0"/>
        <w:adjustRightInd w:val="0"/>
        <w:jc w:val="left"/>
        <w:rPr>
          <w:kern w:val="0"/>
          <w:sz w:val="24"/>
        </w:rPr>
      </w:pPr>
    </w:p>
    <w:p>
      <w:pPr>
        <w:autoSpaceDE w:val="0"/>
        <w:autoSpaceDN w:val="0"/>
        <w:adjustRightInd w:val="0"/>
        <w:ind w:firstLine="2800" w:firstLineChars="1000"/>
        <w:rPr>
          <w:kern w:val="0"/>
          <w:sz w:val="28"/>
          <w:szCs w:val="28"/>
        </w:rPr>
      </w:pPr>
      <w:r>
        <w:rPr>
          <w:kern w:val="0"/>
          <w:sz w:val="28"/>
          <w:szCs w:val="28"/>
        </w:rPr>
        <w:t>系（院）：财经管理学院</w:t>
      </w:r>
    </w:p>
    <w:p>
      <w:pPr>
        <w:autoSpaceDE w:val="0"/>
        <w:autoSpaceDN w:val="0"/>
        <w:adjustRightInd w:val="0"/>
        <w:ind w:firstLine="2800" w:firstLineChars="1000"/>
        <w:rPr>
          <w:kern w:val="0"/>
          <w:sz w:val="28"/>
          <w:szCs w:val="28"/>
          <w:u w:val="single"/>
        </w:rPr>
      </w:pPr>
      <w:r>
        <w:rPr>
          <w:kern w:val="0"/>
          <w:sz w:val="28"/>
          <w:szCs w:val="28"/>
        </w:rPr>
        <w:t>专业：互联网金融</w:t>
      </w:r>
    </w:p>
    <w:p>
      <w:pPr>
        <w:autoSpaceDE w:val="0"/>
        <w:autoSpaceDN w:val="0"/>
        <w:adjustRightInd w:val="0"/>
        <w:ind w:firstLine="2800" w:firstLineChars="1000"/>
        <w:rPr>
          <w:kern w:val="0"/>
          <w:sz w:val="28"/>
          <w:szCs w:val="28"/>
        </w:rPr>
      </w:pPr>
      <w:r>
        <w:rPr>
          <w:rFonts w:hint="eastAsia"/>
          <w:kern w:val="0"/>
          <w:sz w:val="28"/>
          <w:szCs w:val="28"/>
        </w:rPr>
        <w:t>年级</w:t>
      </w:r>
      <w:r>
        <w:rPr>
          <w:kern w:val="0"/>
          <w:sz w:val="28"/>
          <w:szCs w:val="28"/>
        </w:rPr>
        <w:t>：</w:t>
      </w:r>
      <w:r>
        <w:rPr>
          <w:rFonts w:hint="eastAsia"/>
          <w:kern w:val="0"/>
          <w:sz w:val="28"/>
          <w:szCs w:val="28"/>
        </w:rPr>
        <w:t>2019级</w:t>
      </w:r>
    </w:p>
    <w:p>
      <w:pPr>
        <w:autoSpaceDE w:val="0"/>
        <w:autoSpaceDN w:val="0"/>
        <w:adjustRightInd w:val="0"/>
        <w:ind w:firstLine="2800" w:firstLineChars="1000"/>
        <w:rPr>
          <w:kern w:val="0"/>
          <w:sz w:val="28"/>
          <w:szCs w:val="28"/>
          <w:u w:val="single"/>
        </w:rPr>
      </w:pPr>
      <w:r>
        <w:rPr>
          <w:rFonts w:hint="eastAsia"/>
          <w:kern w:val="0"/>
          <w:sz w:val="28"/>
          <w:szCs w:val="28"/>
        </w:rPr>
        <w:t>编制</w:t>
      </w:r>
      <w:r>
        <w:rPr>
          <w:kern w:val="0"/>
          <w:sz w:val="28"/>
          <w:szCs w:val="28"/>
        </w:rPr>
        <w:t>人：刘焕杨</w:t>
      </w: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autoSpaceDE w:val="0"/>
        <w:autoSpaceDN w:val="0"/>
        <w:adjustRightInd w:val="0"/>
        <w:rPr>
          <w:kern w:val="0"/>
          <w:sz w:val="28"/>
          <w:szCs w:val="28"/>
          <w:u w:val="single"/>
        </w:rPr>
      </w:pPr>
    </w:p>
    <w:p>
      <w:pPr>
        <w:widowControl/>
        <w:jc w:val="left"/>
        <w:rPr>
          <w:rFonts w:eastAsia="黑体"/>
          <w:b/>
          <w:bCs/>
          <w:kern w:val="44"/>
          <w:sz w:val="36"/>
          <w:szCs w:val="36"/>
        </w:rPr>
      </w:pPr>
      <w:r>
        <w:rPr>
          <w:rFonts w:eastAsia="黑体"/>
          <w:b/>
          <w:bCs/>
          <w:kern w:val="44"/>
          <w:sz w:val="36"/>
          <w:szCs w:val="36"/>
        </w:rPr>
        <w:br w:type="page"/>
      </w:r>
    </w:p>
    <w:p>
      <w:pPr>
        <w:keepNext/>
        <w:keepLines/>
        <w:pBdr>
          <w:bottom w:val="thickThinSmallGap" w:color="auto" w:sz="24" w:space="1"/>
        </w:pBdr>
        <w:spacing w:before="300" w:after="300" w:line="500" w:lineRule="exact"/>
        <w:jc w:val="center"/>
        <w:outlineLvl w:val="0"/>
        <w:rPr>
          <w:rFonts w:eastAsia="黑体"/>
          <w:b/>
          <w:bCs/>
          <w:kern w:val="44"/>
          <w:sz w:val="36"/>
          <w:szCs w:val="36"/>
        </w:rPr>
      </w:pPr>
      <w:r>
        <w:rPr>
          <w:rFonts w:ascii="方正小标宋简体" w:eastAsia="方正小标宋简体"/>
          <w:bCs/>
          <w:sz w:val="36"/>
          <w:szCs w:val="36"/>
        </w:rPr>
        <w:t>201</w:t>
      </w:r>
      <w:r>
        <w:rPr>
          <w:rFonts w:hint="eastAsia" w:ascii="方正小标宋简体" w:eastAsia="方正小标宋简体"/>
          <w:bCs/>
          <w:sz w:val="36"/>
          <w:szCs w:val="36"/>
        </w:rPr>
        <w:t>9</w:t>
      </w:r>
      <w:r>
        <w:rPr>
          <w:rFonts w:ascii="方正小标宋简体" w:eastAsia="方正小标宋简体"/>
          <w:bCs/>
          <w:sz w:val="36"/>
          <w:szCs w:val="36"/>
        </w:rPr>
        <w:t>级《互联网金融》</w:t>
      </w:r>
      <w:r>
        <w:rPr>
          <w:rFonts w:hint="eastAsia" w:ascii="方正小标宋简体" w:eastAsia="方正小标宋简体"/>
          <w:bCs/>
          <w:sz w:val="36"/>
          <w:szCs w:val="36"/>
        </w:rPr>
        <w:t>专业人才培养方案</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一、专业名称及专业代码</w:t>
      </w:r>
    </w:p>
    <w:p>
      <w:pPr>
        <w:spacing w:line="360" w:lineRule="auto"/>
        <w:ind w:firstLine="480" w:firstLineChars="200"/>
        <w:rPr>
          <w:rFonts w:ascii="仿宋_GB2312" w:hAnsi="Times New Roman" w:eastAsia="仿宋_GB2312" w:cs="Times New Roman"/>
          <w:color w:val="FF0000"/>
          <w:sz w:val="24"/>
          <w:szCs w:val="24"/>
        </w:rPr>
      </w:pPr>
      <w:r>
        <w:rPr>
          <w:rFonts w:hint="eastAsia" w:ascii="仿宋_GB2312" w:hAnsi="Times New Roman" w:eastAsia="仿宋_GB2312" w:cs="Times New Roman"/>
          <w:bCs/>
          <w:sz w:val="24"/>
          <w:szCs w:val="24"/>
        </w:rPr>
        <w:t>专业名称：互联网金融</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专业代码：630209</w:t>
      </w:r>
    </w:p>
    <w:p>
      <w:pPr>
        <w:numPr>
          <w:ilvl w:val="0"/>
          <w:numId w:val="1"/>
        </w:num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入学要求</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高中阶段教育毕业生或具有同等学力者。</w:t>
      </w: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三、修业年限</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本校实行弹性学制，允许学生提前或延迟毕业。各专业一般修业年限为三年，修业年限最长不得超过九年（从入学时开始计算）。</w:t>
      </w:r>
    </w:p>
    <w:p>
      <w:pPr>
        <w:spacing w:line="360" w:lineRule="auto"/>
        <w:ind w:left="420" w:leftChars="200" w:firstLine="280" w:firstLineChars="1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四、职业面向</w:t>
      </w:r>
    </w:p>
    <w:tbl>
      <w:tblPr>
        <w:tblStyle w:val="26"/>
        <w:tblW w:w="8527"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242"/>
        <w:gridCol w:w="1087"/>
        <w:gridCol w:w="1200"/>
        <w:gridCol w:w="1125"/>
        <w:gridCol w:w="1470"/>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0" w:hRule="atLeast"/>
          <w:tblCellSpacing w:w="0" w:type="dxa"/>
          <w:jc w:val="center"/>
        </w:trPr>
        <w:tc>
          <w:tcPr>
            <w:tcW w:w="2242"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所属专业大类（代码）</w:t>
            </w:r>
          </w:p>
        </w:tc>
        <w:tc>
          <w:tcPr>
            <w:tcW w:w="1087"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所属专业类</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20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对应</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行业</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125"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主要职业类别</w:t>
            </w:r>
          </w:p>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（代码）</w:t>
            </w:r>
          </w:p>
        </w:tc>
        <w:tc>
          <w:tcPr>
            <w:tcW w:w="1470"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主要岗位类别（或技术领域）</w:t>
            </w:r>
          </w:p>
        </w:tc>
        <w:tc>
          <w:tcPr>
            <w:tcW w:w="1403" w:type="dxa"/>
            <w:tcMar>
              <w:left w:w="105" w:type="dxa"/>
              <w:right w:w="105" w:type="dxa"/>
            </w:tcMar>
            <w:vAlign w:val="center"/>
          </w:tcPr>
          <w:p>
            <w:pPr>
              <w:widowControl/>
              <w:spacing w:line="360" w:lineRule="atLeast"/>
              <w:jc w:val="center"/>
              <w:rPr>
                <w:rFonts w:ascii="Times New Roman" w:hAnsi="Times New Roman" w:eastAsia="宋体" w:cs="Times New Roman"/>
                <w:b/>
                <w:bCs/>
                <w:kern w:val="0"/>
                <w:szCs w:val="21"/>
              </w:rPr>
            </w:pPr>
            <w:r>
              <w:rPr>
                <w:rFonts w:hint="eastAsia" w:ascii="宋体" w:hAnsi="宋体" w:eastAsia="宋体" w:cs="宋体"/>
                <w:b/>
                <w:bCs/>
                <w:kern w:val="0"/>
                <w:szCs w:val="21"/>
              </w:rPr>
              <w:t>职业资格证书或技能等级证书举例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tblCellSpacing w:w="0" w:type="dxa"/>
          <w:jc w:val="center"/>
        </w:trPr>
        <w:tc>
          <w:tcPr>
            <w:tcW w:w="2242" w:type="dxa"/>
            <w:tcMar>
              <w:left w:w="105" w:type="dxa"/>
              <w:right w:w="105" w:type="dxa"/>
            </w:tcMar>
            <w:vAlign w:val="center"/>
          </w:tcPr>
          <w:p>
            <w:pPr>
              <w:rPr>
                <w:rFonts w:ascii="宋体" w:hAnsi="宋体" w:eastAsia="宋体" w:cs="宋体"/>
                <w:szCs w:val="21"/>
              </w:rPr>
            </w:pPr>
            <w:r>
              <w:rPr>
                <w:rFonts w:hint="eastAsia" w:ascii="宋体" w:hAnsi="宋体" w:eastAsia="宋体" w:cs="宋体"/>
                <w:szCs w:val="21"/>
              </w:rPr>
              <w:t>财经商贸大类（63）</w:t>
            </w:r>
          </w:p>
        </w:tc>
        <w:tc>
          <w:tcPr>
            <w:tcW w:w="1087" w:type="dxa"/>
            <w:tcMar>
              <w:left w:w="105" w:type="dxa"/>
              <w:right w:w="105" w:type="dxa"/>
            </w:tcMar>
            <w:vAlign w:val="center"/>
          </w:tcPr>
          <w:p>
            <w:pPr>
              <w:rPr>
                <w:rFonts w:ascii="宋体" w:hAnsi="宋体" w:eastAsia="宋体" w:cs="宋体"/>
                <w:szCs w:val="21"/>
              </w:rPr>
            </w:pPr>
            <w:r>
              <w:rPr>
                <w:rFonts w:ascii="宋体" w:hAnsi="宋体" w:eastAsia="宋体" w:cs="宋体"/>
                <w:szCs w:val="21"/>
              </w:rPr>
              <w:t>金融类（</w:t>
            </w:r>
            <w:r>
              <w:rPr>
                <w:rFonts w:hint="eastAsia" w:ascii="宋体" w:hAnsi="宋体" w:eastAsia="宋体" w:cs="宋体"/>
                <w:szCs w:val="21"/>
              </w:rPr>
              <w:t>6302</w:t>
            </w:r>
            <w:r>
              <w:rPr>
                <w:rFonts w:ascii="宋体" w:hAnsi="宋体" w:eastAsia="宋体" w:cs="宋体"/>
                <w:szCs w:val="21"/>
              </w:rPr>
              <w:t>）</w:t>
            </w:r>
          </w:p>
        </w:tc>
        <w:tc>
          <w:tcPr>
            <w:tcW w:w="1200" w:type="dxa"/>
            <w:tcMar>
              <w:left w:w="105" w:type="dxa"/>
              <w:right w:w="105" w:type="dxa"/>
            </w:tcMar>
            <w:vAlign w:val="center"/>
          </w:tcPr>
          <w:p>
            <w:pPr>
              <w:rPr>
                <w:rFonts w:ascii="宋体" w:hAnsi="宋体" w:eastAsia="宋体" w:cs="宋体"/>
                <w:szCs w:val="21"/>
              </w:rPr>
            </w:pPr>
            <w:r>
              <w:rPr>
                <w:rFonts w:ascii="宋体" w:hAnsi="宋体" w:eastAsia="宋体" w:cs="宋体"/>
                <w:szCs w:val="21"/>
              </w:rPr>
              <w:t>货币金融服务（</w:t>
            </w:r>
            <w:r>
              <w:rPr>
                <w:rFonts w:hint="eastAsia" w:ascii="宋体" w:hAnsi="宋体" w:eastAsia="宋体" w:cs="宋体"/>
                <w:szCs w:val="21"/>
              </w:rPr>
              <w:t>66</w:t>
            </w:r>
            <w:r>
              <w:rPr>
                <w:rFonts w:ascii="宋体" w:hAnsi="宋体" w:eastAsia="宋体" w:cs="宋体"/>
                <w:szCs w:val="21"/>
              </w:rPr>
              <w:t>）</w:t>
            </w:r>
          </w:p>
        </w:tc>
        <w:tc>
          <w:tcPr>
            <w:tcW w:w="1125" w:type="dxa"/>
            <w:tcMar>
              <w:left w:w="105" w:type="dxa"/>
              <w:right w:w="105" w:type="dxa"/>
            </w:tcMar>
            <w:vAlign w:val="center"/>
          </w:tcPr>
          <w:p>
            <w:pPr>
              <w:rPr>
                <w:rFonts w:ascii="宋体" w:hAnsi="宋体" w:eastAsia="宋体" w:cs="宋体"/>
                <w:szCs w:val="21"/>
              </w:rPr>
            </w:pPr>
            <w:r>
              <w:rPr>
                <w:rFonts w:ascii="宋体" w:hAnsi="宋体" w:eastAsia="宋体" w:cs="宋体"/>
                <w:szCs w:val="21"/>
              </w:rPr>
              <w:t>其他金融服务人员（</w:t>
            </w:r>
            <w:r>
              <w:rPr>
                <w:rFonts w:hint="eastAsia" w:ascii="宋体" w:hAnsi="宋体" w:eastAsia="宋体" w:cs="宋体"/>
                <w:szCs w:val="21"/>
              </w:rPr>
              <w:t>4-05-99</w:t>
            </w:r>
            <w:r>
              <w:rPr>
                <w:rFonts w:ascii="宋体" w:hAnsi="宋体" w:eastAsia="宋体" w:cs="宋体"/>
                <w:szCs w:val="21"/>
              </w:rPr>
              <w:t>）</w:t>
            </w:r>
          </w:p>
        </w:tc>
        <w:tc>
          <w:tcPr>
            <w:tcW w:w="1470" w:type="dxa"/>
            <w:tcMar>
              <w:left w:w="105" w:type="dxa"/>
              <w:right w:w="105" w:type="dxa"/>
            </w:tcMar>
            <w:vAlign w:val="center"/>
          </w:tcPr>
          <w:p>
            <w:pPr>
              <w:rPr>
                <w:rFonts w:ascii="宋体" w:hAnsi="宋体" w:eastAsia="宋体" w:cs="宋体"/>
                <w:szCs w:val="21"/>
              </w:rPr>
            </w:pPr>
            <w:r>
              <w:rPr>
                <w:rFonts w:ascii="宋体" w:hAnsi="宋体" w:eastAsia="宋体" w:cs="宋体"/>
                <w:szCs w:val="21"/>
              </w:rPr>
              <w:t>商务拓展：风险控制</w:t>
            </w:r>
          </w:p>
        </w:tc>
        <w:tc>
          <w:tcPr>
            <w:tcW w:w="1403" w:type="dxa"/>
            <w:tcMar>
              <w:left w:w="105" w:type="dxa"/>
              <w:right w:w="105" w:type="dxa"/>
            </w:tcMar>
            <w:vAlign w:val="center"/>
          </w:tcPr>
          <w:p>
            <w:pPr>
              <w:rPr>
                <w:rFonts w:ascii="宋体" w:hAnsi="宋体" w:eastAsia="宋体" w:cs="宋体"/>
                <w:szCs w:val="21"/>
              </w:rPr>
            </w:pPr>
            <w:r>
              <w:rPr>
                <w:rFonts w:ascii="宋体" w:hAnsi="宋体" w:eastAsia="宋体" w:cs="宋体"/>
                <w:szCs w:val="21"/>
              </w:rPr>
              <w:t>证券从业资格证书</w:t>
            </w:r>
          </w:p>
        </w:tc>
      </w:tr>
    </w:tbl>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五、培养目标和培养规格</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（一）培养目标</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本专业培养适应社会需要、掌握金融、互联网、统计、营销等方面的基本知识和技能，具有良好的专业素养、创新精神 和较强的实践能力，能在互联网金融相关企事业单位从事运营管理、数据分析、企划、风险控制等岗位的应用型人才。</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（二）培养规格</w:t>
      </w:r>
    </w:p>
    <w:p>
      <w:pPr>
        <w:spacing w:line="360" w:lineRule="auto"/>
        <w:ind w:firstLine="480" w:firstLineChars="200"/>
        <w:rPr>
          <w:rFonts w:ascii="仿宋_GB2312" w:hAnsi="Times New Roman" w:eastAsia="仿宋_GB2312" w:cs="Times New Roman"/>
          <w:bCs/>
          <w:color w:val="FF0000"/>
          <w:sz w:val="24"/>
          <w:szCs w:val="24"/>
        </w:rPr>
      </w:pPr>
      <w:r>
        <w:rPr>
          <w:rFonts w:hint="eastAsia" w:ascii="仿宋_GB2312" w:hAnsi="Times New Roman" w:eastAsia="仿宋_GB2312" w:cs="Times New Roman"/>
          <w:bCs/>
          <w:sz w:val="24"/>
          <w:szCs w:val="24"/>
        </w:rPr>
        <w:t>1.素质</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①</w:t>
      </w:r>
      <w:r>
        <w:rPr>
          <w:rFonts w:ascii="仿宋_GB2312" w:hAnsi="Times New Roman" w:eastAsia="仿宋_GB2312" w:cs="Times New Roman"/>
          <w:bCs/>
          <w:sz w:val="24"/>
          <w:szCs w:val="24"/>
        </w:rPr>
        <w:t>.具有正确的世界观</w:t>
      </w:r>
      <w:r>
        <w:rPr>
          <w:rFonts w:hint="eastAsia" w:ascii="仿宋_GB2312" w:hAnsi="Times New Roman" w:eastAsia="仿宋_GB2312" w:cs="Times New Roman"/>
          <w:bCs/>
          <w:sz w:val="24"/>
          <w:szCs w:val="24"/>
        </w:rPr>
        <w:t>、</w:t>
      </w:r>
      <w:r>
        <w:rPr>
          <w:rFonts w:ascii="仿宋_GB2312" w:hAnsi="Times New Roman" w:eastAsia="仿宋_GB2312" w:cs="Times New Roman"/>
          <w:bCs/>
          <w:sz w:val="24"/>
          <w:szCs w:val="24"/>
        </w:rPr>
        <w:t>人生观</w:t>
      </w:r>
      <w:r>
        <w:rPr>
          <w:rFonts w:hint="eastAsia" w:ascii="仿宋_GB2312" w:hAnsi="Times New Roman" w:eastAsia="仿宋_GB2312" w:cs="Times New Roman"/>
          <w:bCs/>
          <w:sz w:val="24"/>
          <w:szCs w:val="24"/>
        </w:rPr>
        <w:t>和价值观众</w:t>
      </w:r>
      <w:r>
        <w:rPr>
          <w:rFonts w:ascii="仿宋_GB2312" w:hAnsi="Times New Roman" w:eastAsia="仿宋_GB2312" w:cs="Times New Roman"/>
          <w:bCs/>
          <w:sz w:val="24"/>
          <w:szCs w:val="24"/>
        </w:rPr>
        <w:t>；</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②</w:t>
      </w:r>
      <w:r>
        <w:rPr>
          <w:rFonts w:ascii="仿宋_GB2312" w:hAnsi="Times New Roman" w:eastAsia="仿宋_GB2312" w:cs="Times New Roman"/>
          <w:bCs/>
          <w:sz w:val="24"/>
          <w:szCs w:val="24"/>
        </w:rPr>
        <w:t>.具有较强的责任心、事业心、法制观念及良好的道德品质；</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③</w:t>
      </w:r>
      <w:r>
        <w:rPr>
          <w:rFonts w:ascii="仿宋_GB2312" w:hAnsi="Times New Roman" w:eastAsia="仿宋_GB2312" w:cs="Times New Roman"/>
          <w:bCs/>
          <w:sz w:val="24"/>
          <w:szCs w:val="24"/>
        </w:rPr>
        <w:t>.具有一定的科学知识和科学精神，科学的逻辑思维方式和创新意识；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④</w:t>
      </w:r>
      <w:r>
        <w:rPr>
          <w:rFonts w:ascii="仿宋_GB2312" w:hAnsi="Times New Roman" w:eastAsia="仿宋_GB2312" w:cs="Times New Roman"/>
          <w:bCs/>
          <w:sz w:val="24"/>
          <w:szCs w:val="24"/>
        </w:rPr>
        <w:t>.具有团队意识、热爱生活、朴素自然、待人真诚、处事平和大方；</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⑤</w:t>
      </w:r>
      <w:r>
        <w:rPr>
          <w:rFonts w:ascii="仿宋_GB2312" w:hAnsi="Times New Roman" w:eastAsia="仿宋_GB2312" w:cs="Times New Roman"/>
          <w:bCs/>
          <w:sz w:val="24"/>
          <w:szCs w:val="24"/>
        </w:rPr>
        <w:t>.具有</w:t>
      </w:r>
      <w:r>
        <w:rPr>
          <w:rFonts w:hint="eastAsia" w:ascii="仿宋_GB2312" w:hAnsi="Times New Roman" w:eastAsia="仿宋_GB2312" w:cs="Times New Roman"/>
          <w:bCs/>
          <w:sz w:val="24"/>
          <w:szCs w:val="24"/>
        </w:rPr>
        <w:t>网络</w:t>
      </w:r>
      <w:r>
        <w:rPr>
          <w:rFonts w:ascii="仿宋_GB2312" w:hAnsi="Times New Roman" w:eastAsia="仿宋_GB2312" w:cs="Times New Roman"/>
          <w:bCs/>
          <w:sz w:val="24"/>
          <w:szCs w:val="24"/>
        </w:rPr>
        <w:t>通信专业必备的基本专业知识；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⑥</w:t>
      </w:r>
      <w:r>
        <w:rPr>
          <w:rFonts w:ascii="仿宋_GB2312" w:hAnsi="Times New Roman" w:eastAsia="仿宋_GB2312" w:cs="Times New Roman"/>
          <w:bCs/>
          <w:sz w:val="24"/>
          <w:szCs w:val="24"/>
        </w:rPr>
        <w:t>.具有健康的身体和心理。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2.知识</w:t>
      </w:r>
    </w:p>
    <w:p>
      <w:pPr>
        <w:spacing w:line="360" w:lineRule="auto"/>
        <w:ind w:firstLine="482"/>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（1）基础知识：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①</w:t>
      </w:r>
      <w:r>
        <w:rPr>
          <w:rFonts w:ascii="仿宋_GB2312" w:hAnsi="Times New Roman" w:eastAsia="仿宋_GB2312" w:cs="Times New Roman"/>
          <w:bCs/>
          <w:sz w:val="24"/>
          <w:szCs w:val="24"/>
        </w:rPr>
        <w:t>.掌握马克思主义基本理论和基本知识；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②</w:t>
      </w:r>
      <w:r>
        <w:rPr>
          <w:rFonts w:ascii="仿宋_GB2312" w:hAnsi="Times New Roman" w:eastAsia="仿宋_GB2312" w:cs="Times New Roman"/>
          <w:bCs/>
          <w:sz w:val="24"/>
          <w:szCs w:val="24"/>
        </w:rPr>
        <w:t>.掌握思想道德修养和法律基础知识；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③</w:t>
      </w:r>
      <w:r>
        <w:rPr>
          <w:rFonts w:ascii="仿宋_GB2312" w:hAnsi="Times New Roman" w:eastAsia="仿宋_GB2312" w:cs="Times New Roman"/>
          <w:bCs/>
          <w:sz w:val="24"/>
          <w:szCs w:val="24"/>
        </w:rPr>
        <w:t>.掌握数学计算、应用文写作、英语交流、计算机应用等科学文化基础知识。</w:t>
      </w:r>
    </w:p>
    <w:p>
      <w:pPr>
        <w:spacing w:line="360" w:lineRule="auto"/>
        <w:ind w:firstLine="482"/>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w:t>
      </w:r>
      <w:r>
        <w:rPr>
          <w:rFonts w:ascii="仿宋_GB2312" w:hAnsi="Times New Roman" w:eastAsia="仿宋_GB2312" w:cs="Times New Roman"/>
          <w:bCs/>
          <w:sz w:val="24"/>
          <w:szCs w:val="24"/>
        </w:rPr>
        <w:t>专业知识：</w:t>
      </w:r>
    </w:p>
    <w:p>
      <w:pPr>
        <w:spacing w:line="360" w:lineRule="auto"/>
        <w:rPr>
          <w:rFonts w:ascii="仿宋_GB2312" w:eastAsia="仿宋_GB2312"/>
          <w:bCs/>
          <w:sz w:val="24"/>
        </w:rPr>
      </w:pPr>
      <w:r>
        <w:rPr>
          <w:rFonts w:hint="eastAsia" w:ascii="仿宋" w:hAnsi="仿宋" w:eastAsia="仿宋"/>
          <w:bCs/>
          <w:sz w:val="24"/>
        </w:rPr>
        <w:t>①</w:t>
      </w:r>
      <w:r>
        <w:rPr>
          <w:rFonts w:ascii="仿宋_GB2312" w:eastAsia="仿宋_GB2312"/>
          <w:bCs/>
          <w:sz w:val="24"/>
        </w:rPr>
        <w:t>.掌握</w:t>
      </w:r>
      <w:r>
        <w:rPr>
          <w:rFonts w:hint="eastAsia" w:ascii="仿宋_GB2312" w:eastAsia="仿宋_GB2312"/>
          <w:bCs/>
          <w:sz w:val="24"/>
        </w:rPr>
        <w:t>本专业必备的经济学、会计学、国际金融学、互联网技术等专业基础知识；</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②</w:t>
      </w:r>
      <w:r>
        <w:rPr>
          <w:rFonts w:hint="eastAsia" w:ascii="仿宋_GB2312" w:hAnsi="Times New Roman" w:eastAsia="仿宋_GB2312" w:cs="Times New Roman"/>
          <w:bCs/>
          <w:sz w:val="24"/>
          <w:szCs w:val="24"/>
        </w:rPr>
        <w:t>.具有网络借贷、众筹、第三方支付、证券投资、互联网金融产品设计等技能和原理</w:t>
      </w:r>
      <w:r>
        <w:rPr>
          <w:rFonts w:ascii="仿宋_GB2312" w:hAnsi="Times New Roman" w:eastAsia="仿宋_GB2312" w:cs="Times New Roman"/>
          <w:bCs/>
          <w:sz w:val="24"/>
          <w:szCs w:val="24"/>
        </w:rPr>
        <w:t>；</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③</w:t>
      </w:r>
      <w:r>
        <w:rPr>
          <w:rFonts w:ascii="仿宋_GB2312" w:hAnsi="Times New Roman" w:eastAsia="仿宋_GB2312" w:cs="Times New Roman"/>
          <w:bCs/>
          <w:sz w:val="24"/>
          <w:szCs w:val="24"/>
        </w:rPr>
        <w:t>.掌握</w:t>
      </w:r>
      <w:r>
        <w:rPr>
          <w:rFonts w:hint="eastAsia" w:ascii="仿宋_GB2312" w:hAnsi="Times New Roman" w:eastAsia="仿宋_GB2312" w:cs="Times New Roman"/>
          <w:bCs/>
          <w:sz w:val="24"/>
          <w:szCs w:val="24"/>
        </w:rPr>
        <w:t>市场调查与预测、金融风险管理、互联网金融法律法规等知识和原理</w:t>
      </w:r>
      <w:r>
        <w:rPr>
          <w:rFonts w:ascii="仿宋_GB2312" w:hAnsi="Times New Roman" w:eastAsia="仿宋_GB2312" w:cs="Times New Roman"/>
          <w:bCs/>
          <w:sz w:val="24"/>
          <w:szCs w:val="24"/>
        </w:rPr>
        <w:t>；</w:t>
      </w:r>
    </w:p>
    <w:p>
      <w:pPr>
        <w:spacing w:line="360" w:lineRule="auto"/>
        <w:rPr>
          <w:rFonts w:ascii="仿宋_GB2312" w:hAnsi="Times New Roman" w:eastAsia="仿宋_GB2312" w:cs="Times New Roman"/>
          <w:bCs/>
          <w:sz w:val="24"/>
          <w:szCs w:val="24"/>
        </w:rPr>
      </w:pPr>
      <w:r>
        <w:rPr>
          <w:rFonts w:hint="eastAsia" w:ascii="仿宋" w:hAnsi="仿宋" w:eastAsia="仿宋" w:cs="Times New Roman"/>
          <w:bCs/>
          <w:sz w:val="24"/>
          <w:szCs w:val="24"/>
        </w:rPr>
        <w:t>④</w:t>
      </w:r>
      <w:r>
        <w:rPr>
          <w:rFonts w:ascii="仿宋_GB2312" w:hAnsi="Times New Roman" w:eastAsia="仿宋_GB2312" w:cs="Times New Roman"/>
          <w:bCs/>
          <w:sz w:val="24"/>
          <w:szCs w:val="24"/>
        </w:rPr>
        <w:t>.</w:t>
      </w:r>
      <w:r>
        <w:rPr>
          <w:rFonts w:hint="eastAsia" w:ascii="仿宋_GB2312" w:hAnsi="Times New Roman" w:eastAsia="仿宋_GB2312" w:cs="Times New Roman"/>
          <w:bCs/>
          <w:sz w:val="24"/>
          <w:szCs w:val="24"/>
        </w:rPr>
        <w:t>具有自主创业、组建公司及公司运营方面的知识</w:t>
      </w:r>
      <w:r>
        <w:rPr>
          <w:rFonts w:ascii="仿宋_GB2312" w:hAnsi="Times New Roman" w:eastAsia="仿宋_GB2312" w:cs="Times New Roman"/>
          <w:bCs/>
          <w:sz w:val="24"/>
          <w:szCs w:val="24"/>
        </w:rPr>
        <w:t>。</w:t>
      </w:r>
    </w:p>
    <w:p>
      <w:pPr>
        <w:spacing w:line="360" w:lineRule="auto"/>
        <w:ind w:firstLine="352" w:firstLineChars="147"/>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3.能力</w:t>
      </w:r>
    </w:p>
    <w:p>
      <w:pPr>
        <w:pStyle w:val="120"/>
        <w:spacing w:line="360" w:lineRule="auto"/>
        <w:ind w:left="420" w:firstLine="0" w:firstLineChars="0"/>
        <w:rPr>
          <w:rFonts w:ascii="仿宋_GB2312" w:eastAsia="仿宋_GB2312"/>
          <w:bCs/>
          <w:sz w:val="24"/>
        </w:rPr>
      </w:pPr>
      <w:r>
        <w:rPr>
          <w:rFonts w:hint="eastAsia" w:ascii="仿宋_GB2312" w:eastAsia="仿宋_GB2312"/>
          <w:bCs/>
          <w:sz w:val="24"/>
        </w:rPr>
        <w:t>（1）</w:t>
      </w:r>
      <w:r>
        <w:rPr>
          <w:rFonts w:ascii="仿宋_GB2312" w:eastAsia="仿宋_GB2312"/>
          <w:bCs/>
          <w:sz w:val="24"/>
        </w:rPr>
        <w:t>社会能力：</w:t>
      </w:r>
    </w:p>
    <w:p>
      <w:pPr>
        <w:spacing w:line="360" w:lineRule="auto"/>
        <w:rPr>
          <w:rFonts w:ascii="仿宋_GB2312" w:eastAsia="仿宋_GB2312"/>
          <w:bCs/>
          <w:sz w:val="24"/>
        </w:rPr>
      </w:pPr>
      <w:r>
        <w:rPr>
          <w:rFonts w:hint="eastAsia" w:ascii="仿宋" w:hAnsi="仿宋" w:eastAsia="仿宋"/>
          <w:bCs/>
          <w:sz w:val="24"/>
        </w:rPr>
        <w:t>①</w:t>
      </w:r>
      <w:r>
        <w:rPr>
          <w:rFonts w:ascii="仿宋_GB2312" w:eastAsia="仿宋_GB2312"/>
          <w:bCs/>
          <w:sz w:val="24"/>
        </w:rPr>
        <w:t>.具有独立思考，主动工作的能力；</w:t>
      </w:r>
    </w:p>
    <w:p>
      <w:pPr>
        <w:spacing w:line="360" w:lineRule="auto"/>
        <w:rPr>
          <w:rFonts w:ascii="仿宋_GB2312" w:eastAsia="仿宋_GB2312"/>
          <w:bCs/>
          <w:sz w:val="24"/>
        </w:rPr>
      </w:pPr>
      <w:r>
        <w:rPr>
          <w:rFonts w:hint="eastAsia" w:ascii="仿宋" w:hAnsi="仿宋" w:eastAsia="仿宋"/>
          <w:bCs/>
          <w:sz w:val="24"/>
        </w:rPr>
        <w:t>②</w:t>
      </w:r>
      <w:r>
        <w:rPr>
          <w:rFonts w:ascii="仿宋_GB2312" w:eastAsia="仿宋_GB2312"/>
          <w:bCs/>
          <w:sz w:val="24"/>
        </w:rPr>
        <w:t>.具有吃苦耐劳、甘于奉献的品质；</w:t>
      </w:r>
    </w:p>
    <w:p>
      <w:pPr>
        <w:spacing w:line="360" w:lineRule="auto"/>
        <w:rPr>
          <w:rFonts w:ascii="仿宋_GB2312" w:eastAsia="仿宋_GB2312"/>
          <w:bCs/>
          <w:sz w:val="24"/>
        </w:rPr>
      </w:pPr>
      <w:r>
        <w:rPr>
          <w:rFonts w:hint="eastAsia" w:ascii="仿宋" w:hAnsi="仿宋" w:eastAsia="仿宋"/>
          <w:bCs/>
          <w:sz w:val="24"/>
        </w:rPr>
        <w:t>③</w:t>
      </w:r>
      <w:r>
        <w:rPr>
          <w:rFonts w:ascii="仿宋_GB2312" w:eastAsia="仿宋_GB2312"/>
          <w:bCs/>
          <w:sz w:val="24"/>
        </w:rPr>
        <w:t>.具有良好的人际交往的能力、沟通协调、团队合作与工作适应能力；</w:t>
      </w:r>
    </w:p>
    <w:p>
      <w:pPr>
        <w:spacing w:line="360" w:lineRule="auto"/>
        <w:rPr>
          <w:rFonts w:ascii="仿宋_GB2312" w:eastAsia="仿宋_GB2312"/>
          <w:bCs/>
          <w:sz w:val="24"/>
        </w:rPr>
      </w:pPr>
      <w:r>
        <w:rPr>
          <w:rFonts w:hint="eastAsia" w:ascii="仿宋" w:hAnsi="仿宋" w:eastAsia="仿宋"/>
          <w:bCs/>
          <w:sz w:val="24"/>
        </w:rPr>
        <w:t>④</w:t>
      </w:r>
      <w:r>
        <w:rPr>
          <w:rFonts w:ascii="仿宋_GB2312" w:eastAsia="仿宋_GB2312"/>
          <w:bCs/>
          <w:sz w:val="24"/>
        </w:rPr>
        <w:t>.具有主动学习能力、自我发展能力及创新能力；</w:t>
      </w:r>
    </w:p>
    <w:p>
      <w:pPr>
        <w:spacing w:line="360" w:lineRule="auto"/>
        <w:rPr>
          <w:rFonts w:ascii="仿宋_GB2312" w:eastAsia="仿宋_GB2312"/>
          <w:bCs/>
          <w:sz w:val="24"/>
        </w:rPr>
      </w:pPr>
      <w:r>
        <w:rPr>
          <w:rFonts w:hint="eastAsia" w:ascii="仿宋" w:hAnsi="仿宋" w:eastAsia="仿宋"/>
          <w:bCs/>
          <w:sz w:val="24"/>
        </w:rPr>
        <w:t>⑤</w:t>
      </w:r>
      <w:r>
        <w:rPr>
          <w:rFonts w:ascii="仿宋_GB2312" w:eastAsia="仿宋_GB2312"/>
          <w:bCs/>
          <w:sz w:val="24"/>
        </w:rPr>
        <w:t>.具有良好的职业道德、敬业精神；</w:t>
      </w:r>
    </w:p>
    <w:p>
      <w:pPr>
        <w:spacing w:line="360" w:lineRule="auto"/>
        <w:rPr>
          <w:rFonts w:ascii="仿宋_GB2312" w:eastAsia="仿宋_GB2312"/>
          <w:bCs/>
          <w:sz w:val="24"/>
        </w:rPr>
      </w:pPr>
      <w:r>
        <w:rPr>
          <w:rFonts w:hint="eastAsia" w:ascii="仿宋" w:hAnsi="仿宋" w:eastAsia="仿宋"/>
          <w:bCs/>
          <w:sz w:val="24"/>
        </w:rPr>
        <w:t>⑥</w:t>
      </w:r>
      <w:r>
        <w:rPr>
          <w:rFonts w:ascii="仿宋_GB2312" w:eastAsia="仿宋_GB2312"/>
          <w:bCs/>
          <w:sz w:val="24"/>
        </w:rPr>
        <w:t>.具有严谨的工作态度和良好的心理素质。</w:t>
      </w:r>
    </w:p>
    <w:p>
      <w:pPr>
        <w:pStyle w:val="120"/>
        <w:spacing w:line="360" w:lineRule="auto"/>
        <w:ind w:left="420" w:firstLine="0" w:firstLineChars="0"/>
        <w:rPr>
          <w:rFonts w:ascii="仿宋_GB2312" w:eastAsia="仿宋_GB2312"/>
          <w:bCs/>
          <w:sz w:val="24"/>
        </w:rPr>
      </w:pPr>
      <w:r>
        <w:rPr>
          <w:rFonts w:hint="eastAsia" w:ascii="仿宋_GB2312" w:eastAsia="仿宋_GB2312"/>
          <w:bCs/>
          <w:sz w:val="24"/>
        </w:rPr>
        <w:t>（2）方法能力：</w:t>
      </w:r>
    </w:p>
    <w:p>
      <w:pPr>
        <w:spacing w:line="360" w:lineRule="auto"/>
        <w:rPr>
          <w:rFonts w:ascii="仿宋_GB2312" w:eastAsia="仿宋_GB2312"/>
          <w:bCs/>
          <w:sz w:val="24"/>
        </w:rPr>
      </w:pPr>
      <w:r>
        <w:rPr>
          <w:rFonts w:hint="eastAsia" w:ascii="仿宋" w:hAnsi="仿宋" w:eastAsia="仿宋"/>
          <w:bCs/>
          <w:sz w:val="24"/>
        </w:rPr>
        <w:t>①</w:t>
      </w:r>
      <w:r>
        <w:rPr>
          <w:rFonts w:ascii="仿宋_GB2312" w:eastAsia="仿宋_GB2312"/>
          <w:bCs/>
          <w:sz w:val="24"/>
        </w:rPr>
        <w:t>.具有终身学习，适应</w:t>
      </w:r>
      <w:r>
        <w:rPr>
          <w:rFonts w:hint="eastAsia" w:ascii="仿宋_GB2312" w:eastAsia="仿宋_GB2312"/>
          <w:bCs/>
          <w:sz w:val="24"/>
        </w:rPr>
        <w:t>各种岗位</w:t>
      </w:r>
      <w:r>
        <w:rPr>
          <w:rFonts w:ascii="仿宋_GB2312" w:eastAsia="仿宋_GB2312"/>
          <w:bCs/>
          <w:sz w:val="24"/>
        </w:rPr>
        <w:t>的能力；</w:t>
      </w:r>
    </w:p>
    <w:p>
      <w:pPr>
        <w:spacing w:line="360" w:lineRule="auto"/>
        <w:rPr>
          <w:rFonts w:ascii="仿宋_GB2312" w:eastAsia="仿宋_GB2312"/>
          <w:bCs/>
          <w:sz w:val="24"/>
        </w:rPr>
      </w:pPr>
      <w:r>
        <w:rPr>
          <w:rFonts w:hint="eastAsia" w:ascii="仿宋" w:hAnsi="仿宋" w:eastAsia="仿宋"/>
          <w:bCs/>
          <w:sz w:val="24"/>
        </w:rPr>
        <w:t>②</w:t>
      </w:r>
      <w:r>
        <w:rPr>
          <w:rFonts w:ascii="仿宋_GB2312" w:eastAsia="仿宋_GB2312"/>
          <w:bCs/>
          <w:sz w:val="24"/>
        </w:rPr>
        <w:t>.具有获取信息的能力，并具有一定信息处理能力；</w:t>
      </w:r>
    </w:p>
    <w:p>
      <w:pPr>
        <w:spacing w:line="360" w:lineRule="auto"/>
        <w:rPr>
          <w:rFonts w:ascii="仿宋_GB2312" w:eastAsia="仿宋_GB2312"/>
          <w:bCs/>
          <w:sz w:val="24"/>
        </w:rPr>
      </w:pPr>
      <w:r>
        <w:rPr>
          <w:rFonts w:hint="eastAsia" w:ascii="仿宋" w:hAnsi="仿宋" w:eastAsia="仿宋"/>
          <w:bCs/>
          <w:sz w:val="24"/>
        </w:rPr>
        <w:t>③</w:t>
      </w:r>
      <w:r>
        <w:rPr>
          <w:rFonts w:ascii="仿宋_GB2312" w:eastAsia="仿宋_GB2312"/>
          <w:bCs/>
          <w:sz w:val="24"/>
        </w:rPr>
        <w:t>.具有制定工作计划的能力和进行职业生涯规划能力；</w:t>
      </w:r>
    </w:p>
    <w:p>
      <w:pPr>
        <w:spacing w:line="360" w:lineRule="auto"/>
        <w:rPr>
          <w:rFonts w:ascii="仿宋_GB2312" w:eastAsia="仿宋_GB2312"/>
          <w:bCs/>
          <w:sz w:val="24"/>
        </w:rPr>
      </w:pPr>
      <w:r>
        <w:rPr>
          <w:rFonts w:hint="eastAsia" w:ascii="仿宋" w:hAnsi="仿宋" w:eastAsia="仿宋"/>
          <w:bCs/>
          <w:sz w:val="24"/>
        </w:rPr>
        <w:t>④</w:t>
      </w:r>
      <w:r>
        <w:rPr>
          <w:rFonts w:ascii="仿宋_GB2312" w:eastAsia="仿宋_GB2312"/>
          <w:bCs/>
          <w:sz w:val="24"/>
        </w:rPr>
        <w:t>.具有分析、解决问题的能力；</w:t>
      </w:r>
    </w:p>
    <w:p>
      <w:pPr>
        <w:spacing w:line="360" w:lineRule="auto"/>
        <w:rPr>
          <w:rFonts w:ascii="仿宋_GB2312" w:eastAsia="仿宋_GB2312"/>
          <w:bCs/>
          <w:sz w:val="24"/>
        </w:rPr>
      </w:pPr>
      <w:r>
        <w:rPr>
          <w:rFonts w:hint="eastAsia" w:ascii="仿宋" w:hAnsi="仿宋" w:eastAsia="仿宋"/>
          <w:bCs/>
          <w:sz w:val="24"/>
        </w:rPr>
        <w:t>⑤</w:t>
      </w:r>
      <w:r>
        <w:rPr>
          <w:rFonts w:ascii="仿宋_GB2312" w:eastAsia="仿宋_GB2312"/>
          <w:bCs/>
          <w:sz w:val="24"/>
        </w:rPr>
        <w:t>.具有主动探索和应用新知识、新技术、新工艺的能力；</w:t>
      </w:r>
    </w:p>
    <w:p>
      <w:pPr>
        <w:spacing w:line="360" w:lineRule="auto"/>
        <w:rPr>
          <w:rFonts w:ascii="仿宋_GB2312" w:eastAsia="仿宋_GB2312"/>
          <w:bCs/>
          <w:sz w:val="24"/>
        </w:rPr>
      </w:pPr>
      <w:r>
        <w:rPr>
          <w:rFonts w:hint="eastAsia" w:ascii="仿宋" w:hAnsi="仿宋" w:eastAsia="仿宋"/>
          <w:bCs/>
          <w:sz w:val="24"/>
        </w:rPr>
        <w:t>⑥</w:t>
      </w:r>
      <w:r>
        <w:rPr>
          <w:rFonts w:ascii="仿宋_GB2312" w:eastAsia="仿宋_GB2312"/>
          <w:bCs/>
          <w:sz w:val="24"/>
        </w:rPr>
        <w:t>.具有严格执行工作程序、工作规范、工作标准和安全操作规程的能力；</w:t>
      </w:r>
    </w:p>
    <w:p>
      <w:pPr>
        <w:spacing w:line="360" w:lineRule="auto"/>
        <w:rPr>
          <w:rFonts w:ascii="仿宋_GB2312" w:eastAsia="仿宋_GB2312"/>
          <w:bCs/>
          <w:sz w:val="24"/>
        </w:rPr>
      </w:pPr>
      <w:r>
        <w:rPr>
          <w:rFonts w:hint="eastAsia" w:ascii="仿宋" w:hAnsi="仿宋" w:eastAsia="仿宋"/>
          <w:bCs/>
          <w:sz w:val="24"/>
        </w:rPr>
        <w:t>⑦</w:t>
      </w:r>
      <w:r>
        <w:rPr>
          <w:rFonts w:ascii="仿宋_GB2312" w:eastAsia="仿宋_GB2312"/>
          <w:bCs/>
          <w:sz w:val="24"/>
        </w:rPr>
        <w:t>.具有基本的</w:t>
      </w:r>
      <w:r>
        <w:rPr>
          <w:rFonts w:hint="eastAsia" w:ascii="仿宋_GB2312" w:eastAsia="仿宋_GB2312"/>
          <w:bCs/>
          <w:sz w:val="24"/>
        </w:rPr>
        <w:t>创业理念</w:t>
      </w:r>
      <w:r>
        <w:rPr>
          <w:rFonts w:ascii="仿宋_GB2312" w:eastAsia="仿宋_GB2312"/>
          <w:bCs/>
          <w:sz w:val="24"/>
        </w:rPr>
        <w:t>、</w:t>
      </w:r>
      <w:r>
        <w:rPr>
          <w:rFonts w:hint="eastAsia" w:ascii="仿宋_GB2312" w:eastAsia="仿宋_GB2312"/>
          <w:bCs/>
          <w:sz w:val="24"/>
        </w:rPr>
        <w:t>创新思维和</w:t>
      </w:r>
      <w:r>
        <w:rPr>
          <w:rFonts w:ascii="仿宋_GB2312" w:eastAsia="仿宋_GB2312"/>
          <w:bCs/>
          <w:sz w:val="24"/>
        </w:rPr>
        <w:t>技术管理能力。</w:t>
      </w:r>
    </w:p>
    <w:p>
      <w:pPr>
        <w:tabs>
          <w:tab w:val="left" w:pos="3150"/>
        </w:tabs>
        <w:spacing w:line="360" w:lineRule="auto"/>
        <w:ind w:left="420"/>
        <w:rPr>
          <w:rFonts w:ascii="仿宋_GB2312" w:eastAsia="仿宋_GB2312"/>
          <w:bCs/>
          <w:sz w:val="24"/>
        </w:rPr>
      </w:pPr>
      <w:r>
        <w:rPr>
          <w:rFonts w:hint="eastAsia" w:ascii="仿宋_GB2312" w:eastAsia="仿宋_GB2312"/>
          <w:bCs/>
          <w:sz w:val="24"/>
        </w:rPr>
        <w:t>（3）专业能力：</w:t>
      </w:r>
      <w:r>
        <w:rPr>
          <w:rFonts w:ascii="仿宋_GB2312" w:eastAsia="仿宋_GB2312"/>
          <w:bCs/>
          <w:sz w:val="24"/>
        </w:rPr>
        <w:tab/>
      </w:r>
    </w:p>
    <w:p>
      <w:pPr>
        <w:pStyle w:val="120"/>
        <w:spacing w:line="360" w:lineRule="auto"/>
        <w:ind w:firstLine="0" w:firstLineChars="0"/>
        <w:rPr>
          <w:rFonts w:ascii="仿宋_GB2312" w:eastAsia="仿宋_GB2312"/>
          <w:bCs/>
          <w:sz w:val="24"/>
        </w:rPr>
      </w:pPr>
      <w:r>
        <w:rPr>
          <w:rFonts w:hint="eastAsia" w:ascii="仿宋" w:hAnsi="仿宋" w:eastAsia="仿宋"/>
          <w:bCs/>
          <w:sz w:val="24"/>
        </w:rPr>
        <w:t>①</w:t>
      </w:r>
      <w:r>
        <w:rPr>
          <w:rFonts w:hint="eastAsia" w:ascii="仿宋_GB2312" w:eastAsia="仿宋_GB2312"/>
          <w:bCs/>
          <w:sz w:val="24"/>
        </w:rPr>
        <w:t>金融能力：</w:t>
      </w:r>
      <w:r>
        <w:rPr>
          <w:rFonts w:ascii="仿宋_GB2312" w:eastAsia="仿宋_GB2312"/>
          <w:bCs/>
          <w:sz w:val="24"/>
        </w:rPr>
        <w:t>.具有</w:t>
      </w:r>
      <w:r>
        <w:rPr>
          <w:rFonts w:hint="eastAsia" w:ascii="仿宋_GB2312" w:eastAsia="仿宋_GB2312"/>
          <w:bCs/>
          <w:sz w:val="24"/>
        </w:rPr>
        <w:t>金融知识、网络投资理财能力、电子商务</w:t>
      </w:r>
      <w:r>
        <w:rPr>
          <w:rFonts w:ascii="仿宋_GB2312" w:eastAsia="仿宋_GB2312"/>
          <w:bCs/>
          <w:sz w:val="24"/>
        </w:rPr>
        <w:t>能力；</w:t>
      </w:r>
    </w:p>
    <w:p>
      <w:pPr>
        <w:spacing w:line="360" w:lineRule="auto"/>
        <w:rPr>
          <w:rFonts w:ascii="仿宋_GB2312" w:eastAsia="仿宋_GB2312"/>
          <w:bCs/>
          <w:sz w:val="24"/>
        </w:rPr>
      </w:pPr>
      <w:r>
        <w:rPr>
          <w:rFonts w:hint="eastAsia" w:ascii="仿宋" w:hAnsi="仿宋" w:eastAsia="仿宋"/>
          <w:bCs/>
          <w:sz w:val="24"/>
        </w:rPr>
        <w:t>②</w:t>
      </w:r>
      <w:r>
        <w:rPr>
          <w:rFonts w:ascii="仿宋_GB2312" w:eastAsia="仿宋_GB2312"/>
          <w:bCs/>
          <w:sz w:val="24"/>
        </w:rPr>
        <w:t>.</w:t>
      </w:r>
      <w:r>
        <w:rPr>
          <w:rFonts w:hint="eastAsia" w:ascii="仿宋_GB2312" w:eastAsia="仿宋_GB2312"/>
          <w:bCs/>
          <w:sz w:val="24"/>
        </w:rPr>
        <w:t>互联网金融能力：互联网思维和技术基础的研究能力、互联网金融产品设计与营销能力。</w:t>
      </w:r>
    </w:p>
    <w:p>
      <w:pPr>
        <w:spacing w:line="360" w:lineRule="auto"/>
        <w:ind w:left="56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六、课程设置及要求</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主要包括公共基础课程和专业课程。</w:t>
      </w:r>
    </w:p>
    <w:p>
      <w:pPr>
        <w:numPr>
          <w:ilvl w:val="0"/>
          <w:numId w:val="2"/>
        </w:num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公共基础课程</w:t>
      </w:r>
    </w:p>
    <w:p>
      <w:pPr>
        <w:spacing w:line="360" w:lineRule="auto"/>
        <w:ind w:firstLine="480" w:firstLineChars="200"/>
        <w:rPr>
          <w:rFonts w:ascii="仿宋_GB2312" w:hAnsi="Times New Roman" w:eastAsia="仿宋_GB2312" w:cs="Times New Roman"/>
          <w:bCs/>
          <w:color w:val="000000" w:themeColor="text1"/>
          <w:sz w:val="24"/>
          <w:szCs w:val="24"/>
        </w:rPr>
      </w:pPr>
      <w:r>
        <w:rPr>
          <w:rFonts w:hint="eastAsia" w:ascii="仿宋_GB2312" w:hAnsi="Times New Roman" w:eastAsia="仿宋_GB2312" w:cs="Times New Roman"/>
          <w:bCs/>
          <w:color w:val="000000" w:themeColor="text1"/>
          <w:sz w:val="24"/>
          <w:szCs w:val="24"/>
        </w:rPr>
        <w:t>军事技能、军事理论、</w:t>
      </w:r>
      <w:r>
        <w:rPr>
          <w:rFonts w:ascii="仿宋_GB2312" w:hAnsi="Times New Roman" w:eastAsia="仿宋_GB2312" w:cs="Times New Roman"/>
          <w:bCs/>
          <w:color w:val="000000" w:themeColor="text1"/>
          <w:sz w:val="24"/>
          <w:szCs w:val="24"/>
        </w:rPr>
        <w:t>美育课程、</w:t>
      </w:r>
      <w:r>
        <w:rPr>
          <w:rFonts w:hint="eastAsia" w:ascii="仿宋_GB2312" w:hAnsi="Times New Roman" w:eastAsia="仿宋_GB2312" w:cs="Times New Roman"/>
          <w:bCs/>
          <w:color w:val="000000" w:themeColor="text1"/>
          <w:sz w:val="24"/>
          <w:szCs w:val="24"/>
        </w:rPr>
        <w:t>大学生心理健康、职业生涯与规划、思想道德修养、计算机基础、等级英语、大学体育、财经应用文写作、创新创业教育、毛泽东思想和中国特色社会主义理论体系概论、形势与政策、培贤英语。</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公共基础课设置及进程安排表（共计41学分，占总学时32.54%）</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559"/>
        <w:gridCol w:w="2135"/>
        <w:gridCol w:w="709"/>
        <w:gridCol w:w="567"/>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55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135"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4"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559" w:type="dxa"/>
            <w:vMerge w:val="continue"/>
            <w:vAlign w:val="center"/>
          </w:tcPr>
          <w:p>
            <w:pPr>
              <w:tabs>
                <w:tab w:val="left" w:pos="4760"/>
              </w:tabs>
              <w:jc w:val="center"/>
              <w:rPr>
                <w:rFonts w:ascii="宋体" w:hAnsi="宋体" w:eastAsia="宋体" w:cs="Times New Roman"/>
                <w:szCs w:val="21"/>
              </w:rPr>
            </w:pPr>
          </w:p>
        </w:tc>
        <w:tc>
          <w:tcPr>
            <w:tcW w:w="2135"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军事技能</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vAlign w:val="center"/>
          </w:tcPr>
          <w:p>
            <w:pPr>
              <w:jc w:val="center"/>
              <w:rPr>
                <w:rFonts w:ascii="宋体" w:hAnsi="宋体"/>
                <w:color w:val="000000" w:themeColor="text1"/>
                <w:sz w:val="20"/>
                <w:szCs w:val="20"/>
              </w:rPr>
            </w:pPr>
          </w:p>
        </w:tc>
        <w:tc>
          <w:tcPr>
            <w:tcW w:w="735" w:type="dxa"/>
            <w:vAlign w:val="center"/>
          </w:tcPr>
          <w:p>
            <w:pPr>
              <w:jc w:val="center"/>
              <w:rPr>
                <w:rFonts w:ascii="宋体" w:hAnsi="宋体"/>
                <w:color w:val="000000" w:themeColor="text1"/>
                <w:sz w:val="20"/>
                <w:szCs w:val="20"/>
                <w:highlight w:val="yellow"/>
              </w:rPr>
            </w:pPr>
          </w:p>
        </w:tc>
        <w:tc>
          <w:tcPr>
            <w:tcW w:w="963"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113/114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军事理论课1/2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美育课程</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703" w:type="dxa"/>
            <w:vAlign w:val="center"/>
          </w:tcPr>
          <w:p>
            <w:pPr>
              <w:jc w:val="center"/>
              <w:rPr>
                <w:rFonts w:ascii="宋体" w:hAnsi="宋体" w:eastAsia="宋体" w:cs="Times New Roman"/>
                <w:sz w:val="15"/>
                <w:szCs w:val="15"/>
              </w:rPr>
            </w:pPr>
            <w:r>
              <w:rPr>
                <w:rFonts w:hint="eastAsia" w:ascii="宋体" w:hAnsi="宋体" w:eastAsia="宋体" w:cs="Times New Roman"/>
                <w:sz w:val="15"/>
                <w:szCs w:val="15"/>
              </w:rPr>
              <w:t>自行选择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106</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大学生心理健康</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108</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职业生涯与规划</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735" w:type="dxa"/>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105/205</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思想道德修养1/2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301/302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计算机基础1/2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ENG 141/142/144/134</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等级英语A/B/C/B级英语</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GRD 201/202/203 </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大学体育1/2/3</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63" w:type="dxa"/>
            <w:vAlign w:val="center"/>
          </w:tcPr>
          <w:p>
            <w:pPr>
              <w:spacing w:line="360" w:lineRule="auto"/>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1、2、3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财经应用文写作</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117</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创新创业教育</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306/401</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毛泽东思想概论1/2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13</w:t>
            </w:r>
          </w:p>
        </w:tc>
        <w:tc>
          <w:tcPr>
            <w:tcW w:w="1559"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307/402</w:t>
            </w:r>
          </w:p>
        </w:tc>
        <w:tc>
          <w:tcPr>
            <w:tcW w:w="2135"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形势与政策1/2</w:t>
            </w:r>
          </w:p>
        </w:tc>
        <w:tc>
          <w:tcPr>
            <w:tcW w:w="709"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14</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培贤英语A</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124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15</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培贤英语B</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128</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110</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110</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培贤英语C</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54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17</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214</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培贤英语D</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54</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18</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培贤英语E</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48</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38</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sz w:val="20"/>
                <w:szCs w:val="20"/>
              </w:rPr>
            </w:pPr>
            <w:r>
              <w:rPr>
                <w:rFonts w:hint="eastAsia" w:ascii="宋体" w:hAnsi="宋体" w:cs="宋体"/>
                <w:kern w:val="0"/>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16</w:t>
            </w: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101</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泰语</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restart"/>
            <w:vAlign w:val="center"/>
          </w:tcPr>
          <w:p>
            <w:pPr>
              <w:shd w:val="clear" w:color="auto" w:fill="FFFFFF"/>
              <w:jc w:val="center"/>
              <w:rPr>
                <w:rFonts w:ascii="宋体" w:hAnsi="宋体" w:eastAsia="宋体" w:cs="Times New Roman"/>
                <w:sz w:val="18"/>
                <w:szCs w:val="18"/>
              </w:rPr>
            </w:pPr>
            <w:r>
              <w:rPr>
                <w:rFonts w:hint="eastAsia" w:ascii="宋体" w:hAnsi="宋体" w:eastAsia="宋体" w:cs="Times New Roman"/>
                <w:sz w:val="18"/>
                <w:szCs w:val="18"/>
              </w:rPr>
              <w:t>根据自己的课程灵活选修</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restart"/>
            <w:vAlign w:val="center"/>
          </w:tcPr>
          <w:p>
            <w:pPr>
              <w:shd w:val="clear" w:color="auto" w:fill="FFFFFF"/>
              <w:jc w:val="center"/>
              <w:rPr>
                <w:rFonts w:ascii="宋体" w:hAnsi="宋体" w:eastAsia="宋体" w:cs="Times New Roman"/>
                <w:kern w:val="0"/>
                <w:szCs w:val="21"/>
              </w:rPr>
            </w:pPr>
            <w:r>
              <w:rPr>
                <w:rFonts w:hint="eastAsia" w:ascii="宋体" w:hAnsi="宋体" w:eastAsia="宋体" w:cs="Times New Roman"/>
                <w:sz w:val="18"/>
                <w:szCs w:val="18"/>
              </w:rPr>
              <w:t>至少修够1分即可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越南语</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14</w:t>
            </w:r>
            <w:r>
              <w:rPr>
                <w:rFonts w:ascii="宋体" w:hAnsi="宋体" w:cs="宋体"/>
                <w:kern w:val="0"/>
                <w:sz w:val="20"/>
                <w:szCs w:val="20"/>
              </w:rPr>
              <w:tab/>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302</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营养学</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104</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舞蹈</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9</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105</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羽毛球</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5</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11</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103</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商务外交礼仪</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continue"/>
            <w:vAlign w:val="center"/>
          </w:tcPr>
          <w:p>
            <w:pPr>
              <w:shd w:val="clear" w:color="auto" w:fill="FFFFFF"/>
              <w:jc w:val="center"/>
              <w:rPr>
                <w:rFonts w:ascii="宋体" w:hAnsi="宋体" w:eastAsia="宋体" w:cs="Times New Roman"/>
                <w:szCs w:val="21"/>
              </w:rPr>
            </w:pPr>
          </w:p>
        </w:tc>
        <w:tc>
          <w:tcPr>
            <w:tcW w:w="155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PEC 106</w:t>
            </w:r>
          </w:p>
        </w:tc>
        <w:tc>
          <w:tcPr>
            <w:tcW w:w="21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职业道德</w:t>
            </w:r>
          </w:p>
        </w:tc>
        <w:tc>
          <w:tcPr>
            <w:tcW w:w="709"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16</w:t>
            </w:r>
          </w:p>
        </w:tc>
        <w:tc>
          <w:tcPr>
            <w:tcW w:w="567"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w:t>
            </w:r>
          </w:p>
        </w:tc>
        <w:tc>
          <w:tcPr>
            <w:tcW w:w="735"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w:t>
            </w:r>
          </w:p>
        </w:tc>
        <w:tc>
          <w:tcPr>
            <w:tcW w:w="963" w:type="dxa"/>
            <w:vAlign w:val="center"/>
          </w:tcPr>
          <w:p>
            <w:pPr>
              <w:shd w:val="clear" w:color="auto" w:fill="FFFFFF"/>
              <w:jc w:val="center"/>
              <w:rPr>
                <w:rFonts w:ascii="宋体" w:hAnsi="宋体" w:eastAsia="宋体" w:cs="Times New Roman"/>
                <w:spacing w:val="-10"/>
                <w:szCs w:val="21"/>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709" w:type="dxa"/>
            <w:vMerge w:val="continue"/>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Merge w:val="continue"/>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3"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1108</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440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668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41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rPr>
          <w:rFonts w:ascii="仿宋_GB2312" w:hAnsi="Times New Roman" w:eastAsia="仿宋_GB2312" w:cs="Times New Roman"/>
          <w:bCs/>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2.公共基础课内容及要求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序号</w:t>
            </w:r>
          </w:p>
        </w:tc>
        <w:tc>
          <w:tcPr>
            <w:tcW w:w="2155"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课程名称</w:t>
            </w:r>
          </w:p>
        </w:tc>
        <w:tc>
          <w:tcPr>
            <w:tcW w:w="5803" w:type="dxa"/>
          </w:tcPr>
          <w:p>
            <w:pPr>
              <w:spacing w:line="360" w:lineRule="auto"/>
              <w:jc w:val="center"/>
              <w:rPr>
                <w:rFonts w:ascii="宋体" w:hAnsi="宋体" w:eastAsia="宋体" w:cs="宋体"/>
                <w:b/>
                <w:kern w:val="0"/>
                <w:sz w:val="20"/>
                <w:szCs w:val="21"/>
              </w:rPr>
            </w:pPr>
            <w:r>
              <w:rPr>
                <w:rFonts w:hint="eastAsia" w:ascii="宋体" w:hAnsi="宋体" w:eastAsia="宋体" w:cs="宋体"/>
                <w:b/>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kern w:val="0"/>
                <w:sz w:val="20"/>
                <w:szCs w:val="21"/>
              </w:rPr>
            </w:pPr>
            <w:r>
              <w:rPr>
                <w:rFonts w:hint="eastAsia" w:ascii="宋体" w:hAnsi="宋体" w:eastAsia="宋体" w:cs="宋体"/>
                <w:bCs/>
                <w:kern w:val="0"/>
                <w:sz w:val="20"/>
                <w:szCs w:val="21"/>
              </w:rPr>
              <w:t>1</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军事技能</w:t>
            </w:r>
          </w:p>
        </w:tc>
        <w:tc>
          <w:tcPr>
            <w:tcW w:w="5803" w:type="dxa"/>
            <w:vAlign w:val="center"/>
          </w:tcPr>
          <w:p>
            <w:pPr>
              <w:rPr>
                <w:rFonts w:ascii="宋体" w:hAnsi="宋体" w:eastAsia="宋体" w:cs="宋体"/>
                <w:bCs/>
                <w:kern w:val="0"/>
                <w:sz w:val="20"/>
                <w:szCs w:val="21"/>
              </w:rPr>
            </w:pPr>
            <w:r>
              <w:rPr>
                <w:rFonts w:hint="eastAsia" w:ascii="宋体" w:hAnsi="宋体" w:eastAsia="宋体" w:cs="宋体"/>
                <w:bCs/>
                <w:kern w:val="0"/>
                <w:sz w:val="20"/>
                <w:szCs w:val="21"/>
              </w:rPr>
              <w:t>本课程的主要内容包括：共同条令教育与训练、射击与战术训练、防卫技能与战时防护训练、战备基础与应用训练。</w:t>
            </w:r>
          </w:p>
          <w:p>
            <w:pPr>
              <w:rPr>
                <w:rFonts w:ascii="宋体" w:hAnsi="宋体" w:eastAsia="宋体" w:cs="宋体"/>
                <w:bCs/>
                <w:kern w:val="0"/>
                <w:sz w:val="20"/>
                <w:szCs w:val="21"/>
              </w:rPr>
            </w:pPr>
            <w:r>
              <w:rPr>
                <w:rFonts w:hint="eastAsia" w:ascii="宋体" w:hAnsi="宋体" w:eastAsia="宋体" w:cs="宋体"/>
                <w:bCs/>
                <w:kern w:val="0"/>
                <w:sz w:val="20"/>
                <w:szCs w:val="21"/>
              </w:rPr>
              <w:t xml:space="preserve">通过本课程的学习，让学生了解掌握基本军事技能，养成良好的军事素养，增强组织纪律观念，培养学生良好的战斗素养，提高学生安全防护能力，全面提升学生的综合军事素质。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军事理论</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本课程的主要内容包括：中国国防、国家安全、军事思想、现代战争、信息化装备。</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让学生了解掌握军事基础知识，增强国防观念、国家安全意识和忧患危机意识，弘扬爱国主义精神、传承红色基因、提高学生综合国防素质，为实施军民融合发展战略和建设国防后备力量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美育课程</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本课程主要内容包括认识美，体验美，感受美，欣赏美，创造美等的美学。采用实践教育来体现美的教育。</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使学生认识美，爱好美，创造美，促进学生德智体的全面发展，提高学生思想，发展学生的道德情操，丰富学生知识和智力，从而学生在自然成长当中收获精神上的充足，对艺术，空间想象等进一步研究有重要的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大学生心理健康</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本课程的主要内容包括大学生心理健康的新观念、悦纳自我、控制调节情绪、塑造健全人格、积极适应环境、提升人际交往能力、学会恋爱、和生命教育等章节。</w:t>
            </w:r>
            <w:r>
              <w:rPr>
                <w:rFonts w:hint="eastAsia" w:ascii="宋体" w:hAnsi="宋体" w:eastAsia="宋体" w:cs="宋体"/>
                <w:color w:val="000000" w:themeColor="text1"/>
                <w:kern w:val="0"/>
                <w:sz w:val="18"/>
                <w:szCs w:val="18"/>
              </w:rPr>
              <w:br w:type="textWrapping"/>
            </w:r>
            <w:r>
              <w:rPr>
                <w:rFonts w:hint="eastAsia" w:ascii="宋体" w:hAnsi="宋体" w:eastAsia="宋体" w:cs="宋体"/>
                <w:color w:val="000000" w:themeColor="text1"/>
                <w:kern w:val="0"/>
                <w:sz w:val="18"/>
                <w:szCs w:val="18"/>
              </w:rPr>
              <w:t>通过本课程的学习帮助学生掌握一定的心理健康知识，正确认识自我，接纳自我，塑造自己的良好形象，管理好自己的情绪，培养健全的人格品质，积极正向的心态，掌握学习和人际交往的科学方法和技巧，并帮助他们树立科学正向的恋爱观，学会尊重生命，努力实现生命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职业生涯与规划</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本课程的主要内容包括认识职业生涯规划、制订职业生涯规划、职业素质的培养和职业能力的提升、就业准备、求职实践指导、就业权益的保护、创业教育、创业行动实施等内容。</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掌握职业、职业生涯的基本理论知识、具备自我认识与分析技能、信息搜索与管理技能、生涯决策技能、求职技能等，提高学生的各种通用技能，激发学生的社会责任感，增强学生自信心，树立职业生涯发展的自主意识、正确的就业观和价值观、职业观；把个人发展和国家需要、社会发展相结合，确立职业的概念和意识，愿意为个人的生涯发展和社会发展主动付出积极的努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思想道德修养</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中宣部、教育部规定的大学生的必修课之一，是各专业的公共必修课，也是对大学生进行系统的思想政治教育的核心渠道与阵地。通过学习，使学生树立科学的世界观、人生观、价值观、道德观、法制观。通过理论与实践相结合的教学模式，培养学生的爱国主义情操，坚定理想信念的自觉，激发敬业创新精神，形成健全人格的品质与心理素质，掌握工作、生活中的基础法律理论，树立法治意识。通过引导和学习，使学生具备作为现代公民的道德素养和法律素养。</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通过本课程的教学改革与建设，使学生具有明确的职业理想、良好的职业道德、科学的职业价值观和较完善的职业纪律素质，为高职各专业人才培养目标的实现以及高职学生成长成才和终生发展打下坚实的基础。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计算机基础</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计算机应用基础》课程的主要内容有：计算机基础知识、计算机系统知识、Windows7操作系统知识介绍、Word2010文字处理软件、Excel2010电子表格数据处理软件、PowerPoint2010演示文稿软件、计算机网络基础知识及计算机维护等。</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结合理论教学和上机操作能力的培养，使学生了解计算机基础知识，掌握Windows7操作系统的文件、程序管理技术，使学生了解Word2010、Excel2010、PowerPoint2010的基本概念，熟练掌握办公软件的使用，学会利用Word2010软件处理文字，学会制作电子表格并利用公式与函数计算数据，学会高级数据处理、图表数据分析及打印输出等，学会幻灯片的版面设计、对象的动画设计和幻灯片的放映控制及输出转换通过掌握相关知识能够制作一个理想的演示文稿。熟悉Internet的使用，了解计算机安全与维护等基本技能与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等级英语</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内容有英语语言知识与应用技能、学习策略和跨文化交际，包括词汇、阅读、翻译、语法和写作技巧等模块，其目的是帮助学生掌握英语语言知识和交际能力，通过丰富的语言输入与多样的练习形式巩固学生的语言基础，提高学生在不同情境下的语言应用能力。</w:t>
            </w:r>
          </w:p>
          <w:p>
            <w:pP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通过本课程的学习使学生打好扎实的语言基本功，逐步学会使用英语中的基本词汇、语法以及句型结构；能听得懂英语授课，能听懂日常英语谈话和一般的英文主题讲座；提高学生的阅读和写作能力，培养学生在未来生活工作中使用英语进行口头和书面交流能力。本课程特别重视培养学生说、写、译等语言交际能力的培养，同时培养和训练学生的自主学习能力，提高综合文化素养，通过外文的学习培养其思想道德素质、文化素质和心理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大学体育</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本课程主要的内容有,体育基础、素质拓展、篮球、排球、羽毛球、武术（刀术）足球、田径（跑、跳）等。</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学习本课程，使学生掌握体育基础知识，基本体育技能和基础体育动作要领，提高学生身体素质，个人兴趣爱好，使学生在现代化、面向世界、面向未来，适应我国社会主义现代化建设和基础体育改革与发展的实际需要，德、智、体、美全面发展，基础宽厚，具有现代体育</w:t>
            </w:r>
          </w:p>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观念、良好的科学素养以及具有创新精神和实践能力，在社会中有一技之长。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财经应用文写作</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本课程的主要内容包括常用公务文书、常用事务文书、财经活动分析文书、财经调研文书财经契约文书、财经策划文书、财经信息文书、财经函电、财经诉讼文书、财经论文等。</w:t>
            </w:r>
          </w:p>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通过本课程的学习提高高职高专学生的应用文书写作能力，促进学生思维拓展，帮助学生从应用文写作的感性认识入手，开拓专业视野、培养写作兴趣，到完成积累专业知识、树立专业意识、提高专业素养、规范专业行为、掌握专业技能的学习体系的理性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创新创业教育</w:t>
            </w:r>
          </w:p>
        </w:tc>
        <w:tc>
          <w:tcPr>
            <w:tcW w:w="5803" w:type="dxa"/>
            <w:vAlign w:val="center"/>
          </w:tcPr>
          <w:p>
            <w:pPr>
              <w:rPr>
                <w:rFonts w:ascii="宋体" w:hAnsi="宋体" w:eastAsia="宋体" w:cs="宋体"/>
                <w:bCs/>
                <w:kern w:val="0"/>
                <w:sz w:val="20"/>
                <w:szCs w:val="21"/>
              </w:rPr>
            </w:pPr>
            <w:r>
              <w:rPr>
                <w:rFonts w:hint="eastAsia" w:ascii="宋体" w:hAnsi="宋体" w:eastAsia="宋体" w:cs="宋体"/>
                <w:bCs/>
                <w:kern w:val="0"/>
                <w:sz w:val="20"/>
                <w:szCs w:val="21"/>
              </w:rPr>
              <w:t>本课程的主要内容创意概述，创意理论基础，创意心理分析，市场竞争中的创意，创意人才，创意人才的培养，创新意识，创新能力，创新方法及技巧，创新人才的培养，创业教育，创业计划，创业团队等。</w:t>
            </w:r>
          </w:p>
          <w:p>
            <w:pPr>
              <w:rPr>
                <w:rFonts w:ascii="宋体" w:hAnsi="宋体" w:eastAsia="宋体" w:cs="宋体"/>
                <w:bCs/>
                <w:kern w:val="0"/>
                <w:sz w:val="20"/>
                <w:szCs w:val="21"/>
              </w:rPr>
            </w:pPr>
            <w:r>
              <w:rPr>
                <w:rFonts w:hint="eastAsia" w:ascii="宋体" w:hAnsi="宋体" w:eastAsia="宋体" w:cs="宋体"/>
                <w:bCs/>
                <w:kern w:val="0"/>
                <w:sz w:val="20"/>
                <w:szCs w:val="21"/>
              </w:rPr>
              <w:t>通过本课程的学习，培养学生的三创意识，让他们勇于创新和超越，使学生在生活中能发现创新，创业的灵感，在未来的竞争中取得优势。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毛泽东思想和中国特色社会主义理论体系概论</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该课程主要内容是全面论述毛泽东思想、邓小平理论、“三个代表”重要思想和科学发展观、习近平新时代中国特色社会主义思想的科学涵义、形成发展过程、科学体系、历史地位、指导意义。 是我国高校本专科学生都必修的一门思想政治理论课程。</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本课程的学习，主要帮助大学生系统掌握中国化马克思主义的形成发展、主要内容和精神实质，增强中国特色社会主义道路自信、理论自信、制度自信、文化自信，坚定中国特色社会主义理想信念。培养运用马克思主义的立场、观点和方法分析和解决问题的能力，增强执行党的基本路线和基本纲领的自觉性和坚定性，积极投身全面建设小康社会的伟大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jc w:val="center"/>
              <w:rPr>
                <w:rFonts w:ascii="宋体" w:hAnsi="宋体" w:eastAsia="宋体" w:cs="宋体"/>
                <w:bCs/>
                <w:color w:val="000000" w:themeColor="text1"/>
                <w:kern w:val="0"/>
                <w:sz w:val="20"/>
                <w:szCs w:val="21"/>
              </w:rPr>
            </w:pPr>
            <w:r>
              <w:rPr>
                <w:rFonts w:hint="eastAsia" w:ascii="宋体" w:hAnsi="宋体" w:eastAsia="宋体" w:cs="宋体"/>
                <w:color w:val="000000" w:themeColor="text1"/>
                <w:kern w:val="0"/>
                <w:sz w:val="18"/>
                <w:szCs w:val="18"/>
              </w:rPr>
              <w:t>形势与政策</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本课程是思想政治理论课程的重要组成部分，是高等学校思想政治理论课的必修课。是按照高等学校对学生的培养目标，根据当今大学生普遍关心形势与政策的实际情况以及深化改革、建设全面小康社会新的历史时期对思想政治教育提出的要求设置的。每学期的教学内容是根据中宣部、教育部社科司下发的《“时事报告大学生版”教育教学要点》制定。</w:t>
            </w:r>
          </w:p>
          <w:p>
            <w:pPr>
              <w:rPr>
                <w:rFonts w:ascii="宋体" w:hAnsi="宋体" w:eastAsia="宋体" w:cs="宋体"/>
                <w:color w:val="FF0000"/>
                <w:kern w:val="0"/>
                <w:sz w:val="18"/>
                <w:szCs w:val="18"/>
              </w:rPr>
            </w:pPr>
            <w:r>
              <w:rPr>
                <w:rFonts w:hint="eastAsia" w:ascii="宋体" w:hAnsi="宋体" w:eastAsia="宋体" w:cs="宋体"/>
                <w:color w:val="000000" w:themeColor="text1"/>
                <w:kern w:val="0"/>
                <w:sz w:val="18"/>
                <w:szCs w:val="18"/>
              </w:rPr>
              <w:t>通过对大学生进行形势与政策教育，使学生全面系统了解社会发展动态，认清时代潮流，把握时代脉搏，正确认识国情、正确理解党的路线、方针和政策，提高爱国主义和社会主义觉悟，明确时代责任，提高分析和解决社会问题的能力，为成才打下坚实的思想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kern w:val="0"/>
                <w:sz w:val="20"/>
                <w:szCs w:val="21"/>
              </w:rPr>
            </w:pPr>
            <w:r>
              <w:rPr>
                <w:rFonts w:hint="eastAsia" w:ascii="宋体" w:hAnsi="宋体" w:eastAsia="宋体" w:cs="宋体"/>
                <w:bCs/>
                <w:kern w:val="0"/>
                <w:sz w:val="20"/>
                <w:szCs w:val="21"/>
              </w:rPr>
              <w:t>14</w:t>
            </w:r>
          </w:p>
        </w:tc>
        <w:tc>
          <w:tcPr>
            <w:tcW w:w="2155" w:type="dxa"/>
            <w:vAlign w:val="center"/>
          </w:tcPr>
          <w:p>
            <w:pPr>
              <w:jc w:val="center"/>
              <w:rPr>
                <w:rFonts w:ascii="宋体" w:hAnsi="宋体" w:eastAsia="宋体" w:cs="宋体"/>
                <w:bCs/>
                <w:kern w:val="0"/>
                <w:sz w:val="18"/>
                <w:szCs w:val="18"/>
              </w:rPr>
            </w:pPr>
            <w:r>
              <w:rPr>
                <w:rFonts w:hint="eastAsia" w:ascii="宋体" w:hAnsi="宋体" w:eastAsia="宋体" w:cs="宋体"/>
                <w:bCs/>
                <w:kern w:val="0"/>
                <w:sz w:val="18"/>
                <w:szCs w:val="18"/>
              </w:rPr>
              <w:t>培贤英语</w:t>
            </w:r>
          </w:p>
        </w:tc>
        <w:tc>
          <w:tcPr>
            <w:tcW w:w="5803" w:type="dxa"/>
            <w:vAlign w:val="center"/>
          </w:tcPr>
          <w:p>
            <w:pPr>
              <w:rPr>
                <w:rFonts w:ascii="宋体" w:hAnsi="宋体" w:eastAsia="宋体" w:cs="宋体"/>
                <w:bCs/>
                <w:kern w:val="0"/>
                <w:sz w:val="18"/>
                <w:szCs w:val="18"/>
              </w:rPr>
            </w:pPr>
            <w:r>
              <w:rPr>
                <w:rFonts w:hint="eastAsia" w:ascii="宋体" w:hAnsi="宋体" w:eastAsia="宋体" w:cs="宋体"/>
                <w:bCs/>
                <w:kern w:val="0"/>
                <w:sz w:val="18"/>
                <w:szCs w:val="18"/>
              </w:rPr>
              <w:t>本课程主要内容有标准的英语语音、语调、基本的词汇句型及日常的不同语境下的句型表达等。</w:t>
            </w:r>
          </w:p>
          <w:p>
            <w:pPr>
              <w:rPr>
                <w:rFonts w:ascii="宋体" w:hAnsi="宋体" w:eastAsia="宋体" w:cs="宋体"/>
                <w:bCs/>
                <w:kern w:val="0"/>
                <w:sz w:val="18"/>
                <w:szCs w:val="18"/>
              </w:rPr>
            </w:pPr>
            <w:r>
              <w:rPr>
                <w:rFonts w:hint="eastAsia" w:ascii="宋体" w:hAnsi="宋体" w:eastAsia="宋体" w:cs="宋体"/>
                <w:bCs/>
                <w:kern w:val="0"/>
                <w:sz w:val="18"/>
                <w:szCs w:val="18"/>
              </w:rPr>
              <w:t>通过本课程的学习，使学生可以掌握丰富的日常基本词汇、句型、问候的方式；如何进行自我介绍以及与其他人交朋友；食品、餐具、用餐的相关表达方式；有关购物单词和基本句子；常用国家名称；以电话为主题的句子；紧急情况为主题的单句；时间的表达；购物及商务活动等场合用语，以及在休闲场合使用的对话；与他人电话及紧急情况交流日常句型。培养学生用英语进行基本交流的能力，注重纠正语音语调，强调反复跟读、重复记忆的方式，达到加深印象，自然习得的效果。使学生能较流利地用标准的英语语音、语调表达自己的思想，进行一般的英语会话。逐步培养学生的对话、交谈和叙述等方面的口语实际能力，以达</w:t>
            </w:r>
          </w:p>
          <w:p>
            <w:pPr>
              <w:rPr>
                <w:rFonts w:ascii="宋体" w:hAnsi="宋体" w:eastAsia="宋体" w:cs="宋体"/>
                <w:bCs/>
                <w:kern w:val="0"/>
                <w:sz w:val="18"/>
                <w:szCs w:val="18"/>
              </w:rPr>
            </w:pPr>
            <w:r>
              <w:rPr>
                <w:rFonts w:hint="eastAsia" w:ascii="宋体" w:hAnsi="宋体" w:eastAsia="宋体" w:cs="宋体"/>
                <w:bCs/>
                <w:kern w:val="0"/>
                <w:sz w:val="18"/>
                <w:szCs w:val="18"/>
              </w:rPr>
              <w:t>到英语作为交流工具的目的。</w:t>
            </w:r>
          </w:p>
        </w:tc>
      </w:tr>
    </w:tbl>
    <w:p>
      <w:pPr>
        <w:spacing w:line="360" w:lineRule="auto"/>
        <w:ind w:firstLine="480" w:firstLineChars="200"/>
        <w:rPr>
          <w:rFonts w:ascii="仿宋_GB2312" w:hAnsi="Times New Roman" w:eastAsia="仿宋_GB2312" w:cs="Times New Roman"/>
          <w:bCs/>
          <w:sz w:val="24"/>
          <w:szCs w:val="24"/>
        </w:rPr>
      </w:pPr>
    </w:p>
    <w:p>
      <w:pPr>
        <w:numPr>
          <w:ilvl w:val="0"/>
          <w:numId w:val="2"/>
        </w:numPr>
        <w:spacing w:before="240"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专业（技能）课程</w:t>
      </w: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1. 专业基础课设置及进程安排表（共计30学分，占总学时16.92%）</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8"/>
        <w:gridCol w:w="1989"/>
        <w:gridCol w:w="1842"/>
        <w:gridCol w:w="570"/>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990"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1843"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835"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990" w:type="dxa"/>
            <w:vMerge w:val="continue"/>
            <w:vAlign w:val="center"/>
          </w:tcPr>
          <w:p>
            <w:pPr>
              <w:tabs>
                <w:tab w:val="left" w:pos="4760"/>
              </w:tabs>
              <w:jc w:val="center"/>
              <w:rPr>
                <w:rFonts w:ascii="宋体" w:hAnsi="宋体" w:eastAsia="宋体" w:cs="Times New Roman"/>
                <w:szCs w:val="21"/>
              </w:rPr>
            </w:pPr>
          </w:p>
        </w:tc>
        <w:tc>
          <w:tcPr>
            <w:tcW w:w="1843" w:type="dxa"/>
            <w:vMerge w:val="continue"/>
            <w:vAlign w:val="center"/>
          </w:tcPr>
          <w:p>
            <w:pPr>
              <w:tabs>
                <w:tab w:val="left" w:pos="4760"/>
              </w:tabs>
              <w:jc w:val="center"/>
              <w:rPr>
                <w:rFonts w:ascii="宋体" w:hAnsi="宋体" w:eastAsia="宋体" w:cs="Times New Roman"/>
                <w:szCs w:val="21"/>
              </w:rPr>
            </w:pPr>
          </w:p>
        </w:tc>
        <w:tc>
          <w:tcPr>
            <w:tcW w:w="570"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67"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3"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990"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OUW 101/</w:t>
            </w:r>
            <w:r>
              <w:rPr>
                <w:rFonts w:ascii="宋体" w:hAnsi="宋体" w:cs="宋体"/>
                <w:kern w:val="0"/>
                <w:sz w:val="20"/>
                <w:szCs w:val="20"/>
              </w:rPr>
              <w:t>OUW 102</w:t>
            </w:r>
          </w:p>
        </w:tc>
        <w:tc>
          <w:tcPr>
            <w:tcW w:w="1843"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University English Writing Skills</w:t>
            </w:r>
            <w:r>
              <w:rPr>
                <w:rFonts w:hint="eastAsia" w:ascii="宋体" w:hAnsi="宋体" w:cs="宋体"/>
                <w:kern w:val="0"/>
                <w:sz w:val="20"/>
                <w:szCs w:val="20"/>
              </w:rPr>
              <w:t xml:space="preserve"> (上）(下）</w:t>
            </w:r>
          </w:p>
        </w:tc>
        <w:tc>
          <w:tcPr>
            <w:tcW w:w="567"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570"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1143"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OUP 101/OUP 102</w:t>
            </w:r>
          </w:p>
        </w:tc>
        <w:tc>
          <w:tcPr>
            <w:tcW w:w="1843"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 xml:space="preserve">Presentation Skills Course  </w:t>
            </w:r>
            <w:r>
              <w:rPr>
                <w:rFonts w:hint="eastAsia" w:ascii="宋体" w:hAnsi="宋体" w:cs="宋体"/>
                <w:kern w:val="0"/>
                <w:sz w:val="20"/>
                <w:szCs w:val="20"/>
              </w:rPr>
              <w:t>（上）（下）</w:t>
            </w:r>
          </w:p>
        </w:tc>
        <w:tc>
          <w:tcPr>
            <w:tcW w:w="567"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570" w:type="dxa"/>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735" w:type="dxa"/>
            <w:vAlign w:val="center"/>
          </w:tcPr>
          <w:p>
            <w:pPr>
              <w:spacing w:line="240" w:lineRule="exact"/>
              <w:jc w:val="center"/>
              <w:rPr>
                <w:rFonts w:ascii="宋体" w:hAnsi="宋体"/>
                <w:sz w:val="20"/>
                <w:szCs w:val="20"/>
              </w:rPr>
            </w:pPr>
            <w:r>
              <w:rPr>
                <w:rFonts w:hint="eastAsia" w:ascii="宋体" w:hAnsi="宋体"/>
                <w:sz w:val="20"/>
                <w:szCs w:val="20"/>
              </w:rPr>
              <w:t>16</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2、3</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ACC 814</w:t>
            </w:r>
          </w:p>
        </w:tc>
        <w:tc>
          <w:tcPr>
            <w:tcW w:w="1843" w:type="dxa"/>
            <w:vAlign w:val="center"/>
          </w:tcPr>
          <w:p>
            <w:pPr>
              <w:jc w:val="center"/>
              <w:rPr>
                <w:rFonts w:ascii="宋体" w:hAnsi="宋体" w:cs="宋体"/>
                <w:bCs/>
                <w:szCs w:val="21"/>
              </w:rPr>
            </w:pPr>
            <w:r>
              <w:rPr>
                <w:rFonts w:hint="eastAsia" w:ascii="宋体" w:hAnsi="宋体" w:cs="宋体"/>
                <w:bCs/>
                <w:szCs w:val="21"/>
              </w:rPr>
              <w:t>Introduction to Quantitative Methods (IQM)  定量分析概论</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401</w:t>
            </w:r>
          </w:p>
        </w:tc>
        <w:tc>
          <w:tcPr>
            <w:tcW w:w="1843" w:type="dxa"/>
            <w:vAlign w:val="center"/>
          </w:tcPr>
          <w:p>
            <w:pPr>
              <w:jc w:val="center"/>
              <w:rPr>
                <w:rFonts w:ascii="宋体" w:hAnsi="宋体" w:cs="宋体"/>
                <w:sz w:val="18"/>
                <w:szCs w:val="18"/>
              </w:rPr>
            </w:pPr>
            <w:r>
              <w:rPr>
                <w:rFonts w:ascii="宋体" w:hAnsi="宋体" w:cs="宋体"/>
                <w:sz w:val="18"/>
                <w:szCs w:val="18"/>
              </w:rPr>
              <w:t>Principles of Marketing Practice</w:t>
            </w:r>
          </w:p>
          <w:p>
            <w:pPr>
              <w:jc w:val="center"/>
              <w:rPr>
                <w:rFonts w:ascii="宋体" w:hAnsi="宋体" w:cs="宋体"/>
                <w:bCs/>
                <w:szCs w:val="21"/>
              </w:rPr>
            </w:pPr>
            <w:r>
              <w:rPr>
                <w:rFonts w:hint="eastAsia" w:ascii="宋体" w:hAnsi="宋体" w:cs="宋体"/>
                <w:sz w:val="18"/>
                <w:szCs w:val="18"/>
              </w:rPr>
              <w:t xml:space="preserve"> (PMP)  营销实践原则</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404</w:t>
            </w:r>
          </w:p>
        </w:tc>
        <w:tc>
          <w:tcPr>
            <w:tcW w:w="1843" w:type="dxa"/>
            <w:vAlign w:val="center"/>
          </w:tcPr>
          <w:p>
            <w:pPr>
              <w:jc w:val="center"/>
              <w:rPr>
                <w:rFonts w:ascii="宋体" w:hAnsi="宋体" w:cs="宋体"/>
                <w:bCs/>
                <w:szCs w:val="21"/>
              </w:rPr>
            </w:pPr>
            <w:r>
              <w:rPr>
                <w:rFonts w:ascii="宋体" w:hAnsi="宋体" w:cs="宋体"/>
                <w:bCs/>
                <w:szCs w:val="21"/>
              </w:rPr>
              <w:t xml:space="preserve">Dynamic Business Environments </w:t>
            </w:r>
          </w:p>
          <w:p>
            <w:pPr>
              <w:jc w:val="center"/>
              <w:rPr>
                <w:rFonts w:ascii="宋体" w:hAnsi="宋体" w:cs="宋体"/>
                <w:bCs/>
                <w:szCs w:val="21"/>
              </w:rPr>
            </w:pPr>
            <w:r>
              <w:rPr>
                <w:rFonts w:hint="eastAsia" w:ascii="宋体" w:hAnsi="宋体" w:cs="宋体"/>
                <w:bCs/>
                <w:szCs w:val="21"/>
              </w:rPr>
              <w:t>(DBE)  动态商业环境</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405</w:t>
            </w:r>
          </w:p>
        </w:tc>
        <w:tc>
          <w:tcPr>
            <w:tcW w:w="1843" w:type="dxa"/>
            <w:vAlign w:val="center"/>
          </w:tcPr>
          <w:p>
            <w:pPr>
              <w:jc w:val="center"/>
              <w:rPr>
                <w:rFonts w:ascii="宋体" w:hAnsi="宋体" w:cs="宋体"/>
                <w:sz w:val="18"/>
                <w:szCs w:val="18"/>
              </w:rPr>
            </w:pPr>
            <w:r>
              <w:rPr>
                <w:rFonts w:ascii="宋体" w:hAnsi="宋体" w:cs="宋体"/>
                <w:sz w:val="18"/>
                <w:szCs w:val="18"/>
              </w:rPr>
              <w:t>Enterprising Organisations</w:t>
            </w:r>
          </w:p>
          <w:p>
            <w:pPr>
              <w:jc w:val="center"/>
              <w:rPr>
                <w:rFonts w:ascii="宋体" w:hAnsi="宋体" w:cs="宋体"/>
                <w:bCs/>
                <w:szCs w:val="21"/>
              </w:rPr>
            </w:pPr>
            <w:r>
              <w:rPr>
                <w:rFonts w:hint="eastAsia" w:ascii="宋体" w:hAnsi="宋体" w:cs="宋体"/>
                <w:sz w:val="18"/>
                <w:szCs w:val="18"/>
              </w:rPr>
              <w:t>(EO)  企业组织</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409</w:t>
            </w:r>
          </w:p>
        </w:tc>
        <w:tc>
          <w:tcPr>
            <w:tcW w:w="1843" w:type="dxa"/>
            <w:vAlign w:val="center"/>
          </w:tcPr>
          <w:p>
            <w:pPr>
              <w:jc w:val="center"/>
              <w:rPr>
                <w:rFonts w:ascii="宋体" w:hAnsi="宋体" w:cs="宋体"/>
                <w:sz w:val="18"/>
                <w:szCs w:val="18"/>
              </w:rPr>
            </w:pPr>
            <w:r>
              <w:rPr>
                <w:rFonts w:ascii="宋体" w:hAnsi="宋体" w:cs="宋体"/>
                <w:sz w:val="18"/>
                <w:szCs w:val="18"/>
              </w:rPr>
              <w:t>International Business Economics and Markets</w:t>
            </w:r>
          </w:p>
          <w:p>
            <w:pPr>
              <w:jc w:val="center"/>
              <w:rPr>
                <w:rFonts w:ascii="宋体" w:hAnsi="宋体" w:cs="宋体"/>
                <w:bCs/>
                <w:szCs w:val="21"/>
              </w:rPr>
            </w:pPr>
            <w:r>
              <w:rPr>
                <w:rFonts w:hint="eastAsia" w:ascii="宋体" w:hAnsi="宋体" w:cs="宋体"/>
                <w:sz w:val="18"/>
                <w:szCs w:val="18"/>
              </w:rPr>
              <w:t>(IBEM)  国际商业经济学和市场</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990"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408</w:t>
            </w:r>
          </w:p>
        </w:tc>
        <w:tc>
          <w:tcPr>
            <w:tcW w:w="1843" w:type="dxa"/>
            <w:vAlign w:val="center"/>
          </w:tcPr>
          <w:p>
            <w:pPr>
              <w:jc w:val="center"/>
              <w:rPr>
                <w:rFonts w:ascii="宋体" w:hAnsi="宋体" w:cs="宋体"/>
                <w:sz w:val="18"/>
                <w:szCs w:val="18"/>
              </w:rPr>
            </w:pPr>
            <w:r>
              <w:rPr>
                <w:rFonts w:ascii="宋体" w:hAnsi="宋体" w:cs="宋体"/>
                <w:sz w:val="18"/>
                <w:szCs w:val="18"/>
              </w:rPr>
              <w:t>Buyer and Consumer Behaviour</w:t>
            </w:r>
          </w:p>
          <w:p>
            <w:pPr>
              <w:jc w:val="center"/>
              <w:rPr>
                <w:rFonts w:ascii="宋体" w:hAnsi="宋体" w:cs="宋体"/>
                <w:bCs/>
                <w:szCs w:val="21"/>
              </w:rPr>
            </w:pPr>
            <w:r>
              <w:rPr>
                <w:rFonts w:hint="eastAsia" w:ascii="宋体" w:hAnsi="宋体" w:cs="宋体"/>
                <w:sz w:val="18"/>
                <w:szCs w:val="18"/>
              </w:rPr>
              <w:t>(BCB)   购买者和消费者行为学</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67"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360" w:lineRule="auto"/>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990"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IFM 202</w:t>
            </w:r>
          </w:p>
        </w:tc>
        <w:tc>
          <w:tcPr>
            <w:tcW w:w="1843"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金融学基础</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990"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IFM 103</w:t>
            </w:r>
          </w:p>
        </w:tc>
        <w:tc>
          <w:tcPr>
            <w:tcW w:w="1843"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经济学基础</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360" w:lineRule="auto"/>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11</w:t>
            </w:r>
          </w:p>
        </w:tc>
        <w:tc>
          <w:tcPr>
            <w:tcW w:w="1990"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IFM 305</w:t>
            </w:r>
          </w:p>
        </w:tc>
        <w:tc>
          <w:tcPr>
            <w:tcW w:w="1843"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证券投资理论与实务</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12</w:t>
            </w:r>
          </w:p>
        </w:tc>
        <w:tc>
          <w:tcPr>
            <w:tcW w:w="1990"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IFM 501</w:t>
            </w:r>
          </w:p>
        </w:tc>
        <w:tc>
          <w:tcPr>
            <w:tcW w:w="1843"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投资与理财</w:t>
            </w:r>
          </w:p>
        </w:tc>
        <w:tc>
          <w:tcPr>
            <w:tcW w:w="570"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567"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708" w:type="dxa"/>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color w:val="FF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392"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570" w:type="dxa"/>
            <w:vAlign w:val="center"/>
          </w:tcPr>
          <w:p>
            <w:pPr>
              <w:jc w:val="center"/>
              <w:rPr>
                <w:rFonts w:ascii="宋体" w:hAnsi="宋体" w:eastAsia="宋体" w:cs="宋体"/>
                <w:szCs w:val="21"/>
              </w:rPr>
            </w:pPr>
            <w:r>
              <w:rPr>
                <w:rFonts w:hint="eastAsia" w:ascii="宋体" w:hAnsi="宋体" w:eastAsia="宋体" w:cs="宋体"/>
                <w:szCs w:val="21"/>
              </w:rPr>
              <w:t>576</w:t>
            </w:r>
          </w:p>
        </w:tc>
        <w:tc>
          <w:tcPr>
            <w:tcW w:w="567" w:type="dxa"/>
            <w:vAlign w:val="center"/>
          </w:tcPr>
          <w:p>
            <w:pPr>
              <w:jc w:val="center"/>
              <w:rPr>
                <w:rFonts w:ascii="宋体" w:hAnsi="宋体" w:eastAsia="宋体" w:cs="宋体"/>
                <w:szCs w:val="21"/>
              </w:rPr>
            </w:pPr>
            <w:r>
              <w:rPr>
                <w:rFonts w:hint="eastAsia" w:ascii="宋体" w:hAnsi="宋体" w:eastAsia="宋体" w:cs="宋体"/>
                <w:szCs w:val="21"/>
              </w:rPr>
              <w:t>404</w:t>
            </w:r>
          </w:p>
        </w:tc>
        <w:tc>
          <w:tcPr>
            <w:tcW w:w="735" w:type="dxa"/>
            <w:vAlign w:val="center"/>
          </w:tcPr>
          <w:p>
            <w:pPr>
              <w:jc w:val="center"/>
              <w:rPr>
                <w:rFonts w:ascii="宋体" w:hAnsi="宋体" w:eastAsia="宋体" w:cs="宋体"/>
                <w:szCs w:val="21"/>
              </w:rPr>
            </w:pPr>
            <w:r>
              <w:rPr>
                <w:rFonts w:hint="eastAsia" w:ascii="宋体" w:hAnsi="宋体" w:eastAsia="宋体" w:cs="宋体"/>
                <w:szCs w:val="21"/>
              </w:rPr>
              <w:t>172</w:t>
            </w:r>
          </w:p>
        </w:tc>
        <w:tc>
          <w:tcPr>
            <w:tcW w:w="963" w:type="dxa"/>
            <w:vAlign w:val="center"/>
          </w:tcPr>
          <w:p>
            <w:pPr>
              <w:jc w:val="center"/>
              <w:rPr>
                <w:rFonts w:ascii="宋体" w:hAnsi="宋体" w:eastAsia="宋体" w:cs="宋体"/>
                <w:szCs w:val="21"/>
              </w:rPr>
            </w:pPr>
          </w:p>
        </w:tc>
        <w:tc>
          <w:tcPr>
            <w:tcW w:w="708"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2.专业基础课内容及要求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rPr>
                <w:rFonts w:ascii="宋体" w:hAnsi="宋体" w:eastAsia="宋体" w:cs="宋体"/>
                <w:kern w:val="0"/>
                <w:sz w:val="18"/>
                <w:szCs w:val="18"/>
              </w:rPr>
            </w:pPr>
            <w:r>
              <w:rPr>
                <w:rFonts w:ascii="宋体" w:hAnsi="宋体" w:eastAsia="宋体" w:cs="宋体"/>
                <w:kern w:val="0"/>
                <w:sz w:val="18"/>
                <w:szCs w:val="18"/>
              </w:rPr>
              <w:t>UniversityEnglish Writing Skills（</w:t>
            </w:r>
            <w:r>
              <w:rPr>
                <w:rFonts w:hint="eastAsia" w:ascii="宋体" w:hAnsi="宋体" w:eastAsia="宋体" w:cs="宋体"/>
                <w:kern w:val="0"/>
                <w:sz w:val="18"/>
                <w:szCs w:val="18"/>
              </w:rPr>
              <w:t>大学英语写作课课程</w:t>
            </w:r>
            <w:r>
              <w:rPr>
                <w:rFonts w:ascii="宋体" w:hAnsi="宋体" w:eastAsia="宋体" w:cs="宋体"/>
                <w:kern w:val="0"/>
                <w:sz w:val="18"/>
                <w:szCs w:val="18"/>
              </w:rPr>
              <w:t>）</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本课程通过研究英文学术文章的谋篇布局，学习在英文学术文章写作中如何合法地获取与使用英文出版物与非出版物的资料信息、如何正确地使用各种英文资料组织写作，探讨如何评估并优化英文学术文章来培养学生良好的英语学术文章写作技巧与能力。</w:t>
            </w:r>
          </w:p>
          <w:p>
            <w:pPr>
              <w:rPr>
                <w:rFonts w:ascii="宋体" w:hAnsi="宋体" w:eastAsia="宋体" w:cs="宋体"/>
                <w:kern w:val="0"/>
                <w:sz w:val="18"/>
                <w:szCs w:val="18"/>
              </w:rPr>
            </w:pPr>
            <w:r>
              <w:rPr>
                <w:rFonts w:hint="eastAsia" w:ascii="宋体" w:hAnsi="宋体" w:eastAsia="宋体" w:cs="宋体"/>
                <w:kern w:val="0"/>
                <w:sz w:val="18"/>
                <w:szCs w:val="18"/>
              </w:rPr>
              <w:t>通过本课程的学习，学生可以熟悉英文学术文章的架构与作文技能，掌握写作主题鲜明、重点突出、资料翔实、逻辑清晰、结构合理、层次分明、衔接顺畅的英文篇章的能力，提高并强化学生在学习工作中的国际交流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kern w:val="0"/>
                <w:sz w:val="18"/>
                <w:szCs w:val="18"/>
              </w:rPr>
            </w:pPr>
            <w:r>
              <w:rPr>
                <w:rFonts w:ascii="宋体" w:hAnsi="宋体" w:eastAsia="宋体" w:cs="宋体"/>
                <w:kern w:val="0"/>
                <w:sz w:val="18"/>
                <w:szCs w:val="18"/>
              </w:rPr>
              <w:t>Presentation Skills Course（</w:t>
            </w:r>
            <w:r>
              <w:rPr>
                <w:rFonts w:hint="eastAsia" w:ascii="宋体" w:hAnsi="宋体" w:eastAsia="宋体" w:cs="宋体"/>
                <w:kern w:val="0"/>
                <w:sz w:val="18"/>
                <w:szCs w:val="18"/>
              </w:rPr>
              <w:t>大学演讲课课程</w:t>
            </w:r>
            <w:r>
              <w:rPr>
                <w:rFonts w:ascii="宋体" w:hAnsi="宋体" w:eastAsia="宋体" w:cs="宋体"/>
                <w:kern w:val="0"/>
                <w:sz w:val="18"/>
                <w:szCs w:val="18"/>
              </w:rPr>
              <w:t>）</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本课程通过研究优秀英文演讲的构成要素、分析英文演讲的情景并学习如何撰写优秀的英文演讲稿、如何在英文演讲中合理地管控肢体语言和声音技巧、如何管理视觉辅助器具、如何设计演讲舞台与传递信息来培养学生出众的英文演讲技巧与能力。</w:t>
            </w:r>
          </w:p>
          <w:p>
            <w:pPr>
              <w:rPr>
                <w:rFonts w:ascii="宋体" w:hAnsi="宋体" w:eastAsia="宋体" w:cs="宋体"/>
                <w:kern w:val="0"/>
                <w:sz w:val="18"/>
                <w:szCs w:val="18"/>
              </w:rPr>
            </w:pPr>
            <w:r>
              <w:rPr>
                <w:rFonts w:hint="eastAsia" w:ascii="宋体" w:hAnsi="宋体" w:eastAsia="宋体" w:cs="宋体"/>
                <w:kern w:val="0"/>
                <w:sz w:val="18"/>
                <w:szCs w:val="18"/>
              </w:rPr>
              <w:t>通过本课程的学习，学生可以熟悉多种情形下的英文演讲的架构与技巧，掌握在英文环境中进行主题鲜明、重点突出、逻辑清晰、结构合理、衔接顺畅的英语演讲技巧与能力。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bCs/>
                <w:kern w:val="0"/>
                <w:sz w:val="20"/>
                <w:szCs w:val="21"/>
              </w:rPr>
            </w:pPr>
            <w:r>
              <w:rPr>
                <w:rFonts w:hint="eastAsia" w:ascii="宋体" w:hAnsi="宋体" w:eastAsia="宋体" w:cs="宋体"/>
                <w:bCs/>
                <w:kern w:val="0"/>
                <w:sz w:val="20"/>
                <w:szCs w:val="21"/>
              </w:rPr>
              <w:t>Introduction to Quantitative Methods (IQM)  定量分析概论</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研究如何对商业数据的收集分类、处理和分析，以便得出正确行业结论的方法论学科。通过统计所特有的统计指标和指示体系，表明所研究的社会经济现象的规模、水平、速度、比例和效益，以反映社会经济现象发转规律在一定时间、地点、条件下的作用，描述和预测社会经济现象数量之间的联系和变动规律。</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通过本课程的学习使学生们理解统计学的基本原理，掌握统计学的基本方法，子定性分析基础上做好定量分析。用统计学的知识取“发现问题、分析问题和解决问题”</w:t>
            </w:r>
            <w:r>
              <w:rPr>
                <w:rFonts w:hint="eastAsia" w:ascii="宋体" w:hAnsi="宋体" w:eastAsia="宋体" w:cs="宋体"/>
                <w:bCs/>
                <w:kern w:val="0"/>
                <w:sz w:val="20"/>
                <w:szCs w:val="21"/>
              </w:rPr>
              <w:t>，培养学生做数据统计、商业分析和市场预测的能力，以适应市场经济中各类问题的实证研究、科学决策和经济管理的需求。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kern w:val="0"/>
                <w:sz w:val="18"/>
                <w:szCs w:val="18"/>
              </w:rPr>
            </w:pPr>
            <w:r>
              <w:rPr>
                <w:rFonts w:ascii="宋体" w:hAnsi="宋体" w:eastAsia="宋体" w:cs="宋体"/>
                <w:kern w:val="0"/>
                <w:sz w:val="18"/>
                <w:szCs w:val="18"/>
              </w:rPr>
              <w:t>Principles of Marketing Practice</w:t>
            </w:r>
          </w:p>
          <w:p>
            <w:pPr>
              <w:jc w:val="center"/>
              <w:rPr>
                <w:rFonts w:ascii="宋体" w:hAnsi="宋体" w:eastAsia="宋体" w:cs="宋体"/>
                <w:bCs/>
                <w:kern w:val="0"/>
                <w:sz w:val="20"/>
                <w:szCs w:val="21"/>
              </w:rPr>
            </w:pPr>
            <w:r>
              <w:rPr>
                <w:rFonts w:hint="eastAsia" w:ascii="宋体" w:hAnsi="宋体" w:eastAsia="宋体" w:cs="宋体"/>
                <w:kern w:val="0"/>
                <w:sz w:val="18"/>
                <w:szCs w:val="18"/>
              </w:rPr>
              <w:t xml:space="preserve"> (PMP)  营销实践原则</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该课程主要内容是介绍市场营销基本概念和基础知识。</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通过本课程的学习使学生们理解营销方法与技巧，掌握一定的营销理念，将理论与实际结合，具备解决实际赢下问题的能力。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 xml:space="preserve">Dynamic Business Environments </w:t>
            </w:r>
          </w:p>
          <w:p>
            <w:pPr>
              <w:jc w:val="center"/>
              <w:rPr>
                <w:rFonts w:ascii="宋体" w:hAnsi="宋体" w:eastAsia="宋体" w:cs="宋体"/>
                <w:bCs/>
                <w:kern w:val="0"/>
                <w:sz w:val="20"/>
                <w:szCs w:val="21"/>
              </w:rPr>
            </w:pPr>
            <w:r>
              <w:rPr>
                <w:rFonts w:hint="eastAsia" w:ascii="宋体" w:hAnsi="宋体" w:eastAsia="宋体" w:cs="宋体"/>
                <w:bCs/>
                <w:kern w:val="0"/>
                <w:sz w:val="20"/>
                <w:szCs w:val="21"/>
              </w:rPr>
              <w:t>(DBE)  动态商业环境</w:t>
            </w:r>
          </w:p>
        </w:tc>
        <w:tc>
          <w:tcPr>
            <w:tcW w:w="5803" w:type="dxa"/>
            <w:vAlign w:val="center"/>
          </w:tcPr>
          <w:p>
            <w:pPr>
              <w:rPr>
                <w:rFonts w:ascii="微软雅黑" w:hAnsi="微软雅黑" w:eastAsia="微软雅黑" w:cs="Times New Roman"/>
                <w:kern w:val="0"/>
                <w:szCs w:val="21"/>
                <w:shd w:val="clear" w:color="auto" w:fill="FFFFFF"/>
              </w:rPr>
            </w:pPr>
            <w:r>
              <w:rPr>
                <w:rFonts w:hint="eastAsia" w:ascii="宋体" w:hAnsi="宋体" w:eastAsia="宋体" w:cs="宋体"/>
                <w:kern w:val="0"/>
                <w:sz w:val="18"/>
                <w:szCs w:val="18"/>
              </w:rPr>
              <w:t>该课程主要内容是关于商业的经济学观点、不同的经济制度、政府对企业商业的潜在影响、不同水平的市场竞争、供需关系以及需求的弹性、PESTLE分析法、SWOT分析法和企业内部环境的分析。</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理解涉及商业环境的全面的基础知识，对商务中涉及道德实务和相关问题有个清晰的认识，为其他专业课的学习简历一个系统与明确的观点，加强学生综合运用所学理论分析实际问题的能力，培养学生一定的上午素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kern w:val="0"/>
                <w:sz w:val="18"/>
                <w:szCs w:val="18"/>
              </w:rPr>
            </w:pPr>
            <w:r>
              <w:rPr>
                <w:rFonts w:ascii="宋体" w:hAnsi="宋体" w:eastAsia="宋体" w:cs="宋体"/>
                <w:kern w:val="0"/>
                <w:sz w:val="18"/>
                <w:szCs w:val="18"/>
              </w:rPr>
              <w:t>Enterprising Organisations</w:t>
            </w:r>
          </w:p>
          <w:p>
            <w:pPr>
              <w:jc w:val="center"/>
              <w:rPr>
                <w:rFonts w:ascii="宋体" w:hAnsi="宋体" w:eastAsia="宋体" w:cs="宋体"/>
                <w:bCs/>
                <w:kern w:val="0"/>
                <w:sz w:val="20"/>
                <w:szCs w:val="21"/>
              </w:rPr>
            </w:pPr>
            <w:r>
              <w:rPr>
                <w:rFonts w:hint="eastAsia" w:ascii="宋体" w:hAnsi="宋体" w:eastAsia="宋体" w:cs="宋体"/>
                <w:kern w:val="0"/>
                <w:sz w:val="18"/>
                <w:szCs w:val="18"/>
              </w:rPr>
              <w:t>(EO)  企业组织</w:t>
            </w:r>
          </w:p>
        </w:tc>
        <w:tc>
          <w:tcPr>
            <w:tcW w:w="5803" w:type="dxa"/>
            <w:vAlign w:val="center"/>
          </w:tcPr>
          <w:p>
            <w:pPr>
              <w:spacing w:line="320" w:lineRule="atLeast"/>
              <w:rPr>
                <w:rFonts w:ascii="Verdana" w:hAnsi="Verdana" w:eastAsia="宋体" w:cs="Times New Roman"/>
                <w:kern w:val="0"/>
                <w:sz w:val="18"/>
                <w:szCs w:val="18"/>
              </w:rPr>
            </w:pPr>
            <w:r>
              <w:rPr>
                <w:rFonts w:hint="eastAsia" w:ascii="宋体" w:hAnsi="宋体" w:eastAsia="宋体" w:cs="宋体"/>
                <w:kern w:val="0"/>
                <w:sz w:val="18"/>
                <w:szCs w:val="18"/>
              </w:rPr>
              <w:t>该课程主要内容是关于</w:t>
            </w:r>
            <w:r>
              <w:rPr>
                <w:rFonts w:hint="eastAsia" w:ascii="Verdana" w:hAnsi="Verdana" w:eastAsia="宋体" w:cs="Times New Roman"/>
                <w:kern w:val="0"/>
                <w:sz w:val="18"/>
                <w:szCs w:val="18"/>
              </w:rPr>
              <w:t>企业组织结构的多种类型，能绘制最合适的组织结构，并展示不同组织因素之间的联系。组织结构类型以及企业组织的沟通方式，各职能之间的合作与冲突。</w:t>
            </w:r>
          </w:p>
          <w:p>
            <w:pPr>
              <w:wordWrap w:val="0"/>
              <w:spacing w:line="320" w:lineRule="atLeast"/>
              <w:rPr>
                <w:rFonts w:ascii="Verdana" w:hAnsi="Verdana" w:eastAsia="宋体" w:cs="Times New Roman"/>
                <w:kern w:val="0"/>
                <w:sz w:val="18"/>
                <w:szCs w:val="18"/>
              </w:rPr>
            </w:pPr>
            <w:r>
              <w:rPr>
                <w:rFonts w:hint="eastAsia" w:ascii="宋体" w:hAnsi="宋体" w:eastAsia="宋体" w:cs="宋体"/>
                <w:kern w:val="0"/>
                <w:sz w:val="18"/>
                <w:szCs w:val="18"/>
              </w:rPr>
              <w:t>通过本课程的学习使学生们理解</w:t>
            </w:r>
            <w:r>
              <w:rPr>
                <w:rFonts w:hint="eastAsia" w:ascii="Verdana" w:hAnsi="Verdana" w:eastAsia="宋体" w:cs="Times New Roman"/>
                <w:kern w:val="0"/>
                <w:sz w:val="18"/>
                <w:szCs w:val="18"/>
              </w:rPr>
              <w:t>如何分析内外部因素对组织产生的影响；学会用使用一些分析理论分析企业环境。组织基础设施的概念和作用；能够在不同的组织范围内确定组织绩效的关键因素。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kern w:val="0"/>
                <w:sz w:val="18"/>
                <w:szCs w:val="18"/>
              </w:rPr>
            </w:pPr>
            <w:r>
              <w:rPr>
                <w:rFonts w:ascii="宋体" w:hAnsi="宋体" w:eastAsia="宋体" w:cs="宋体"/>
                <w:kern w:val="0"/>
                <w:sz w:val="18"/>
                <w:szCs w:val="18"/>
              </w:rPr>
              <w:t>International Business Economics and Markets</w:t>
            </w:r>
          </w:p>
          <w:p>
            <w:pPr>
              <w:jc w:val="center"/>
              <w:rPr>
                <w:rFonts w:ascii="宋体" w:hAnsi="宋体" w:eastAsia="宋体" w:cs="宋体"/>
                <w:bCs/>
                <w:kern w:val="0"/>
                <w:sz w:val="20"/>
                <w:szCs w:val="21"/>
              </w:rPr>
            </w:pPr>
            <w:r>
              <w:rPr>
                <w:rFonts w:hint="eastAsia" w:ascii="宋体" w:hAnsi="宋体" w:eastAsia="宋体" w:cs="宋体"/>
                <w:kern w:val="0"/>
                <w:sz w:val="18"/>
                <w:szCs w:val="18"/>
              </w:rPr>
              <w:t>(IBEM)  国际商业经济学和市场</w:t>
            </w:r>
          </w:p>
        </w:tc>
        <w:tc>
          <w:tcPr>
            <w:tcW w:w="5803" w:type="dxa"/>
            <w:vAlign w:val="center"/>
          </w:tcPr>
          <w:p>
            <w:pPr>
              <w:rPr>
                <w:rFonts w:ascii="微软雅黑" w:hAnsi="微软雅黑" w:eastAsia="微软雅黑" w:cs="Times New Roman"/>
                <w:kern w:val="0"/>
                <w:szCs w:val="21"/>
                <w:shd w:val="clear" w:color="auto" w:fill="FFFFFF"/>
              </w:rPr>
            </w:pPr>
            <w:r>
              <w:rPr>
                <w:rFonts w:hint="eastAsia" w:ascii="宋体" w:hAnsi="宋体" w:eastAsia="宋体" w:cs="宋体"/>
                <w:kern w:val="0"/>
                <w:sz w:val="18"/>
                <w:szCs w:val="18"/>
              </w:rPr>
              <w:t>该课程主要内容是全面论述常见的国际市场状况及国际经济环境形势。</w:t>
            </w:r>
          </w:p>
          <w:p>
            <w:pPr>
              <w:rPr>
                <w:rFonts w:ascii="微软雅黑" w:hAnsi="微软雅黑" w:eastAsia="微软雅黑" w:cs="Times New Roman"/>
                <w:kern w:val="0"/>
                <w:szCs w:val="21"/>
                <w:shd w:val="clear" w:color="auto" w:fill="FFFFFF"/>
              </w:rPr>
            </w:pPr>
            <w:r>
              <w:rPr>
                <w:rFonts w:hint="eastAsia" w:ascii="宋体" w:hAnsi="宋体" w:eastAsia="宋体" w:cs="宋体"/>
                <w:kern w:val="0"/>
                <w:sz w:val="18"/>
                <w:szCs w:val="18"/>
              </w:rPr>
              <w:t>通过本课程的学习使学生们理解常见的国际贸易原理和经理理论、国际市场规律、常见的国际金融机构及其运行方式。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kern w:val="0"/>
                <w:sz w:val="18"/>
                <w:szCs w:val="18"/>
              </w:rPr>
            </w:pPr>
            <w:r>
              <w:rPr>
                <w:rFonts w:ascii="宋体" w:hAnsi="宋体" w:eastAsia="宋体" w:cs="宋体"/>
                <w:kern w:val="0"/>
                <w:sz w:val="18"/>
                <w:szCs w:val="18"/>
              </w:rPr>
              <w:t>Buyer and Consumer Behaviour</w:t>
            </w:r>
          </w:p>
          <w:p>
            <w:pPr>
              <w:jc w:val="center"/>
              <w:rPr>
                <w:rFonts w:ascii="宋体" w:hAnsi="宋体" w:eastAsia="宋体" w:cs="宋体"/>
                <w:bCs/>
                <w:kern w:val="0"/>
                <w:sz w:val="20"/>
                <w:szCs w:val="21"/>
              </w:rPr>
            </w:pPr>
            <w:r>
              <w:rPr>
                <w:rFonts w:hint="eastAsia" w:ascii="宋体" w:hAnsi="宋体" w:eastAsia="宋体" w:cs="宋体"/>
                <w:kern w:val="0"/>
                <w:sz w:val="18"/>
                <w:szCs w:val="18"/>
              </w:rPr>
              <w:t>(BCB)   购买者和消费者行为学</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研究消费者心理和行为的应用性学科，是市场营销学和心理学的一个重要的的分支。它包含了影响消费者选择的主要因素，消费者购买原理，研究消费者行为的价值，消费者行为理论如何影响组合营销等。</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掌握消费者心理的基本知识，基本理论，基本原则，掌握影响消费者行为方面的的基本因素及相关的基础知识，学习分析影响消费者心理和行为的社会环境，文化因素，产品要素和其他相关因素，培养学生综合分析，解决实际问题的能力，为将来从事营销实践工作及进行理论研究打下良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12</w:t>
            </w:r>
          </w:p>
        </w:tc>
        <w:tc>
          <w:tcPr>
            <w:tcW w:w="2155" w:type="dxa"/>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金融学基础</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是基于货币金融理论知识的逻辑体系，主要包含了货币信用、金融机构、金融市场、国际金融、金融风险与监管、货币政策、互联网金融等基本知识和理论，将内容庞杂的金融基础知识体系系统性地呈现出来，力求作到理论知识必需、够用，体系科学规范，内容简明实用，帮助学生为今后从事金融类工作及取得金融类证书打下基础。 同时，介绍了最新的互联网金融相关知识，体现了最新的法律法规和制度，并注重学生实践技能的培养和训练，具有较强的应用性和实践指导性。每章设有学习目标、导入案例、课堂讨论、拓展阅读、本章概要、思考与练习等栏目，丰富了教材内容与知识体系，也为教师教学和学生更好地掌握知识内容提供了首尾呼应、层层递进的可操作性教学方法。</w:t>
            </w:r>
          </w:p>
          <w:p>
            <w:pPr>
              <w:rPr>
                <w:rFonts w:ascii="宋体" w:hAnsi="宋体" w:eastAsia="宋体" w:cs="宋体"/>
                <w:kern w:val="0"/>
                <w:sz w:val="18"/>
                <w:szCs w:val="18"/>
              </w:rPr>
            </w:pPr>
            <w:r>
              <w:rPr>
                <w:rFonts w:hint="eastAsia" w:ascii="宋体" w:hAnsi="宋体" w:eastAsia="宋体" w:cs="宋体"/>
                <w:kern w:val="0"/>
                <w:sz w:val="18"/>
                <w:szCs w:val="18"/>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13</w:t>
            </w:r>
          </w:p>
        </w:tc>
        <w:tc>
          <w:tcPr>
            <w:tcW w:w="2155" w:type="dxa"/>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经济学基础</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是金融专业的基础性课程，是学生学习财经管理类课程的必须知识储备，也是学生认识和了解社会经济的必备储备知识。该课程主要是教授学生以及扩大学生的知识面，构建自己独有的经济思维框架，为进一步学习其他科目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14</w:t>
            </w:r>
          </w:p>
        </w:tc>
        <w:tc>
          <w:tcPr>
            <w:tcW w:w="2155" w:type="dxa"/>
            <w:vAlign w:val="center"/>
          </w:tcPr>
          <w:p>
            <w:pPr>
              <w:widowControl/>
              <w:jc w:val="center"/>
              <w:textAlignment w:val="center"/>
              <w:rPr>
                <w:rFonts w:ascii="宋体" w:hAnsi="宋体" w:eastAsia="宋体" w:cs="宋体"/>
                <w:kern w:val="0"/>
                <w:sz w:val="20"/>
                <w:szCs w:val="20"/>
              </w:rPr>
            </w:pPr>
            <w:r>
              <w:rPr>
                <w:rFonts w:hint="eastAsia" w:ascii="宋体" w:hAnsi="宋体" w:eastAsia="宋体" w:cs="宋体"/>
                <w:kern w:val="0"/>
                <w:sz w:val="20"/>
                <w:szCs w:val="20"/>
              </w:rPr>
              <w:t>证券投资理论与实务</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系统地阐述了证券投资的理论基础和分析方法。主要内容：包括证券投资概述、证券投资工具、证券市场、证券投资基本分析、上市公司公析、技术分析理论、技术分析指标、证券交易、证券投资的策略与技巧、金融衍生工具、证券市场监管等内容。该课程</w:t>
            </w:r>
            <w:r>
              <w:rPr>
                <w:rFonts w:ascii="宋体" w:hAnsi="宋体" w:eastAsia="宋体" w:cs="宋体"/>
                <w:kern w:val="0"/>
                <w:sz w:val="18"/>
                <w:szCs w:val="18"/>
              </w:rPr>
              <w:t>立足高等教育的特色和要求,力求学生实现理论联系实际,让学生熟悉及参与实践操作,并培养学生的前瞻性。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15</w:t>
            </w:r>
          </w:p>
        </w:tc>
        <w:tc>
          <w:tcPr>
            <w:tcW w:w="2155" w:type="dxa"/>
            <w:vAlign w:val="center"/>
          </w:tcPr>
          <w:p>
            <w:pPr>
              <w:widowControl/>
              <w:jc w:val="center"/>
              <w:textAlignment w:val="center"/>
              <w:rPr>
                <w:rFonts w:ascii="宋体" w:hAnsi="宋体" w:eastAsia="宋体" w:cs="宋体"/>
                <w:color w:val="000000" w:themeColor="text1"/>
                <w:kern w:val="0"/>
                <w:sz w:val="20"/>
                <w:szCs w:val="20"/>
              </w:rPr>
            </w:pPr>
            <w:r>
              <w:rPr>
                <w:rFonts w:hint="eastAsia" w:ascii="宋体" w:hAnsi="宋体" w:eastAsia="宋体" w:cs="宋体"/>
                <w:color w:val="000000" w:themeColor="text1"/>
                <w:kern w:val="0"/>
                <w:sz w:val="20"/>
                <w:szCs w:val="20"/>
              </w:rPr>
              <w:t>投资与理财</w:t>
            </w:r>
          </w:p>
        </w:tc>
        <w:tc>
          <w:tcPr>
            <w:tcW w:w="5803" w:type="dxa"/>
            <w:vAlign w:val="center"/>
          </w:tcPr>
          <w:p>
            <w:pP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18"/>
                <w:szCs w:val="18"/>
              </w:rPr>
              <w:t>该课程主要是为了培养学生掌握投资与理财基本知识和实务操作技能，让学生形成以及学会投资、证券业务操作技能和一定的理财分析能力，培养学生能成为理财和证券投资业务操作管理和服务第一线工作的高技能应用型专门人才。</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3. 专业核心课设置及进程安排表（共计26学分，占总学时14.10%）</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139"/>
        <w:gridCol w:w="2552"/>
        <w:gridCol w:w="709"/>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139"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552"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77"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139" w:type="dxa"/>
            <w:vMerge w:val="continue"/>
            <w:vAlign w:val="center"/>
          </w:tcPr>
          <w:p>
            <w:pPr>
              <w:tabs>
                <w:tab w:val="left" w:pos="4760"/>
              </w:tabs>
              <w:jc w:val="center"/>
              <w:rPr>
                <w:rFonts w:ascii="宋体" w:hAnsi="宋体" w:eastAsia="宋体" w:cs="Times New Roman"/>
                <w:szCs w:val="21"/>
              </w:rPr>
            </w:pPr>
          </w:p>
        </w:tc>
        <w:tc>
          <w:tcPr>
            <w:tcW w:w="2552" w:type="dxa"/>
            <w:vMerge w:val="continue"/>
            <w:vAlign w:val="center"/>
          </w:tcPr>
          <w:p>
            <w:pPr>
              <w:tabs>
                <w:tab w:val="left" w:pos="4760"/>
              </w:tabs>
              <w:jc w:val="center"/>
              <w:rPr>
                <w:rFonts w:ascii="宋体" w:hAnsi="宋体" w:eastAsia="宋体" w:cs="Times New Roman"/>
                <w:szCs w:val="21"/>
              </w:rPr>
            </w:pP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29"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139" w:type="dxa"/>
            <w:vAlign w:val="center"/>
          </w:tcPr>
          <w:p>
            <w:pPr>
              <w:jc w:val="center"/>
              <w:rPr>
                <w:rFonts w:ascii="宋体" w:hAnsi="宋体" w:eastAsia="宋体" w:cs="宋体"/>
                <w:sz w:val="22"/>
              </w:rPr>
            </w:pPr>
            <w:r>
              <w:rPr>
                <w:rFonts w:hint="eastAsia"/>
                <w:sz w:val="22"/>
              </w:rPr>
              <w:t>IFM 101</w:t>
            </w:r>
          </w:p>
        </w:tc>
        <w:tc>
          <w:tcPr>
            <w:tcW w:w="2552" w:type="dxa"/>
            <w:vAlign w:val="center"/>
          </w:tcPr>
          <w:p>
            <w:pPr>
              <w:jc w:val="center"/>
              <w:rPr>
                <w:rFonts w:ascii="宋体" w:hAnsi="宋体" w:eastAsia="宋体" w:cs="宋体"/>
                <w:sz w:val="22"/>
              </w:rPr>
            </w:pPr>
            <w:r>
              <w:rPr>
                <w:rFonts w:hint="eastAsia"/>
                <w:sz w:val="22"/>
              </w:rPr>
              <w:t>互联网金融概论</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48</w:t>
            </w:r>
          </w:p>
        </w:tc>
        <w:tc>
          <w:tcPr>
            <w:tcW w:w="570" w:type="dxa"/>
            <w:vAlign w:val="center"/>
          </w:tcPr>
          <w:p>
            <w:pPr>
              <w:jc w:val="center"/>
              <w:rPr>
                <w:rFonts w:ascii="宋体" w:hAnsi="宋体"/>
                <w:sz w:val="20"/>
                <w:szCs w:val="20"/>
              </w:rPr>
            </w:pPr>
            <w:r>
              <w:rPr>
                <w:rFonts w:hint="eastAsia" w:ascii="宋体" w:hAnsi="宋体"/>
                <w:sz w:val="20"/>
                <w:szCs w:val="20"/>
              </w:rPr>
              <w:t>24</w:t>
            </w:r>
          </w:p>
        </w:tc>
        <w:tc>
          <w:tcPr>
            <w:tcW w:w="735" w:type="dxa"/>
            <w:vAlign w:val="center"/>
          </w:tcPr>
          <w:p>
            <w:pPr>
              <w:jc w:val="center"/>
              <w:rPr>
                <w:rFonts w:ascii="宋体" w:hAnsi="宋体"/>
                <w:sz w:val="20"/>
                <w:szCs w:val="20"/>
              </w:rPr>
            </w:pPr>
            <w:r>
              <w:rPr>
                <w:rFonts w:hint="eastAsia" w:ascii="宋体" w:hAnsi="宋体"/>
                <w:sz w:val="20"/>
                <w:szCs w:val="20"/>
              </w:rPr>
              <w:t>24</w:t>
            </w:r>
          </w:p>
        </w:tc>
        <w:tc>
          <w:tcPr>
            <w:tcW w:w="963" w:type="dxa"/>
            <w:vAlign w:val="center"/>
          </w:tcPr>
          <w:p>
            <w:pPr>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4</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139" w:type="dxa"/>
            <w:vAlign w:val="center"/>
          </w:tcPr>
          <w:p>
            <w:pPr>
              <w:jc w:val="center"/>
              <w:rPr>
                <w:rFonts w:ascii="宋体" w:hAnsi="宋体" w:eastAsia="宋体" w:cs="宋体"/>
                <w:sz w:val="22"/>
              </w:rPr>
            </w:pPr>
            <w:r>
              <w:rPr>
                <w:rFonts w:hint="eastAsia"/>
                <w:sz w:val="22"/>
              </w:rPr>
              <w:t>IFM 102</w:t>
            </w:r>
          </w:p>
        </w:tc>
        <w:tc>
          <w:tcPr>
            <w:tcW w:w="2552" w:type="dxa"/>
            <w:vAlign w:val="center"/>
          </w:tcPr>
          <w:p>
            <w:pPr>
              <w:jc w:val="center"/>
              <w:rPr>
                <w:rFonts w:ascii="宋体" w:hAnsi="宋体" w:eastAsia="宋体" w:cs="宋体"/>
                <w:sz w:val="22"/>
              </w:rPr>
            </w:pPr>
            <w:r>
              <w:rPr>
                <w:rFonts w:hint="eastAsia"/>
                <w:sz w:val="22"/>
              </w:rPr>
              <w:t>互联网金融法律法规</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48</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24</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24</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4</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139" w:type="dxa"/>
            <w:vAlign w:val="center"/>
          </w:tcPr>
          <w:p>
            <w:pPr>
              <w:jc w:val="center"/>
              <w:rPr>
                <w:rFonts w:ascii="宋体" w:hAnsi="宋体" w:eastAsia="宋体" w:cs="宋体"/>
                <w:sz w:val="22"/>
              </w:rPr>
            </w:pPr>
            <w:r>
              <w:rPr>
                <w:rFonts w:hint="eastAsia"/>
                <w:sz w:val="22"/>
              </w:rPr>
              <w:t>IFM 306</w:t>
            </w:r>
          </w:p>
        </w:tc>
        <w:tc>
          <w:tcPr>
            <w:tcW w:w="2552" w:type="dxa"/>
            <w:vAlign w:val="center"/>
          </w:tcPr>
          <w:p>
            <w:pPr>
              <w:jc w:val="center"/>
              <w:rPr>
                <w:rFonts w:ascii="宋体" w:hAnsi="宋体" w:eastAsia="宋体" w:cs="宋体"/>
                <w:sz w:val="22"/>
              </w:rPr>
            </w:pPr>
            <w:r>
              <w:rPr>
                <w:rFonts w:hint="eastAsia"/>
                <w:sz w:val="22"/>
              </w:rPr>
              <w:t>国际金融学</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139" w:type="dxa"/>
            <w:vAlign w:val="center"/>
          </w:tcPr>
          <w:p>
            <w:pPr>
              <w:jc w:val="center"/>
              <w:rPr>
                <w:rFonts w:ascii="宋体" w:hAnsi="宋体" w:eastAsia="宋体" w:cs="宋体"/>
                <w:sz w:val="22"/>
              </w:rPr>
            </w:pPr>
            <w:r>
              <w:rPr>
                <w:rFonts w:hint="eastAsia"/>
                <w:sz w:val="22"/>
              </w:rPr>
              <w:t>IFM 402</w:t>
            </w:r>
          </w:p>
        </w:tc>
        <w:tc>
          <w:tcPr>
            <w:tcW w:w="2552" w:type="dxa"/>
            <w:vAlign w:val="center"/>
          </w:tcPr>
          <w:p>
            <w:pPr>
              <w:jc w:val="center"/>
              <w:rPr>
                <w:rFonts w:ascii="宋体" w:hAnsi="宋体" w:eastAsia="宋体" w:cs="宋体"/>
                <w:sz w:val="22"/>
              </w:rPr>
            </w:pPr>
            <w:r>
              <w:rPr>
                <w:rFonts w:hint="eastAsia"/>
                <w:sz w:val="22"/>
              </w:rPr>
              <w:t>互联网金融保险</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139" w:type="dxa"/>
            <w:vAlign w:val="center"/>
          </w:tcPr>
          <w:p>
            <w:pPr>
              <w:jc w:val="center"/>
              <w:rPr>
                <w:rFonts w:ascii="宋体" w:hAnsi="宋体" w:eastAsia="宋体" w:cs="宋体"/>
                <w:sz w:val="22"/>
              </w:rPr>
            </w:pPr>
            <w:r>
              <w:rPr>
                <w:rFonts w:hint="eastAsia"/>
                <w:sz w:val="22"/>
              </w:rPr>
              <w:t>IFM 301</w:t>
            </w:r>
          </w:p>
        </w:tc>
        <w:tc>
          <w:tcPr>
            <w:tcW w:w="2552" w:type="dxa"/>
            <w:vAlign w:val="center"/>
          </w:tcPr>
          <w:p>
            <w:pPr>
              <w:jc w:val="center"/>
              <w:rPr>
                <w:rFonts w:ascii="宋体" w:hAnsi="宋体" w:eastAsia="宋体" w:cs="宋体"/>
                <w:sz w:val="22"/>
              </w:rPr>
            </w:pPr>
            <w:r>
              <w:rPr>
                <w:rFonts w:hint="eastAsia"/>
                <w:sz w:val="22"/>
              </w:rPr>
              <w:t>互联网金融营销</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139" w:type="dxa"/>
            <w:vAlign w:val="center"/>
          </w:tcPr>
          <w:p>
            <w:pPr>
              <w:jc w:val="center"/>
              <w:rPr>
                <w:rFonts w:ascii="宋体" w:hAnsi="宋体" w:eastAsia="宋体" w:cs="宋体"/>
                <w:sz w:val="22"/>
              </w:rPr>
            </w:pPr>
            <w:r>
              <w:rPr>
                <w:rFonts w:hint="eastAsia"/>
                <w:sz w:val="22"/>
              </w:rPr>
              <w:t>IFM 405</w:t>
            </w:r>
          </w:p>
        </w:tc>
        <w:tc>
          <w:tcPr>
            <w:tcW w:w="2552" w:type="dxa"/>
            <w:vAlign w:val="center"/>
          </w:tcPr>
          <w:p>
            <w:pPr>
              <w:jc w:val="center"/>
              <w:rPr>
                <w:rFonts w:ascii="宋体" w:hAnsi="宋体" w:eastAsia="宋体" w:cs="宋体"/>
                <w:sz w:val="22"/>
              </w:rPr>
            </w:pPr>
            <w:r>
              <w:rPr>
                <w:rFonts w:hint="eastAsia"/>
                <w:sz w:val="22"/>
              </w:rPr>
              <w:t>互联网金融支付</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tcBorders>
              <w:bottom w:val="single" w:color="auto" w:sz="4" w:space="0"/>
            </w:tcBorders>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139" w:type="dxa"/>
            <w:vAlign w:val="center"/>
          </w:tcPr>
          <w:p>
            <w:pPr>
              <w:jc w:val="center"/>
              <w:rPr>
                <w:rFonts w:ascii="宋体" w:hAnsi="宋体" w:eastAsia="宋体" w:cs="宋体"/>
                <w:sz w:val="22"/>
              </w:rPr>
            </w:pPr>
            <w:r>
              <w:rPr>
                <w:rFonts w:hint="eastAsia"/>
                <w:sz w:val="22"/>
              </w:rPr>
              <w:t>IFM 402</w:t>
            </w:r>
          </w:p>
        </w:tc>
        <w:tc>
          <w:tcPr>
            <w:tcW w:w="2552" w:type="dxa"/>
            <w:vAlign w:val="center"/>
          </w:tcPr>
          <w:p>
            <w:pPr>
              <w:jc w:val="center"/>
              <w:rPr>
                <w:rFonts w:ascii="宋体" w:hAnsi="宋体" w:eastAsia="宋体" w:cs="宋体"/>
                <w:sz w:val="22"/>
              </w:rPr>
            </w:pPr>
            <w:r>
              <w:rPr>
                <w:rFonts w:hint="eastAsia"/>
                <w:sz w:val="22"/>
              </w:rPr>
              <w:t>P2P股权与众筹</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Merge w:val="restart"/>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139" w:type="dxa"/>
            <w:vAlign w:val="center"/>
          </w:tcPr>
          <w:p>
            <w:pPr>
              <w:widowControl/>
              <w:jc w:val="center"/>
              <w:textAlignment w:val="center"/>
              <w:rPr>
                <w:rFonts w:ascii="宋体" w:hAnsi="宋体" w:cs="宋体"/>
                <w:color w:val="000000" w:themeColor="text1"/>
                <w:kern w:val="0"/>
                <w:sz w:val="20"/>
                <w:szCs w:val="20"/>
              </w:rPr>
            </w:pPr>
            <w:r>
              <w:rPr>
                <w:rFonts w:hint="eastAsia"/>
                <w:sz w:val="22"/>
              </w:rPr>
              <w:t>IFM 407</w:t>
            </w:r>
          </w:p>
        </w:tc>
        <w:tc>
          <w:tcPr>
            <w:tcW w:w="2552" w:type="dxa"/>
            <w:vAlign w:val="center"/>
          </w:tcPr>
          <w:p>
            <w:pPr>
              <w:jc w:val="center"/>
              <w:rPr>
                <w:rFonts w:ascii="宋体" w:hAnsi="宋体" w:eastAsia="宋体" w:cs="宋体"/>
                <w:sz w:val="22"/>
              </w:rPr>
            </w:pPr>
            <w:r>
              <w:rPr>
                <w:rFonts w:hint="eastAsia"/>
                <w:sz w:val="22"/>
              </w:rPr>
              <w:t>商业银行经营管理</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64</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63" w:type="dxa"/>
            <w:vAlign w:val="center"/>
          </w:tcPr>
          <w:p>
            <w:pPr>
              <w:spacing w:line="240" w:lineRule="exact"/>
              <w:jc w:val="center"/>
              <w:rPr>
                <w:rFonts w:ascii="宋体" w:hAnsi="宋体"/>
                <w:sz w:val="20"/>
                <w:szCs w:val="20"/>
              </w:rPr>
            </w:pPr>
          </w:p>
        </w:tc>
        <w:tc>
          <w:tcPr>
            <w:tcW w:w="708" w:type="dxa"/>
            <w:vAlign w:val="center"/>
          </w:tcPr>
          <w:p>
            <w:pPr>
              <w:jc w:val="center"/>
              <w:rPr>
                <w:rFonts w:ascii="宋体" w:hAnsi="宋体" w:eastAsia="宋体" w:cs="宋体"/>
                <w:sz w:val="22"/>
              </w:rPr>
            </w:pPr>
            <w:r>
              <w:rPr>
                <w:rFonts w:hint="eastAsia"/>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Merge w:val="continue"/>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50"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09" w:type="dxa"/>
            <w:vAlign w:val="center"/>
          </w:tcPr>
          <w:p>
            <w:pPr>
              <w:jc w:val="center"/>
              <w:rPr>
                <w:rFonts w:ascii="宋体" w:hAnsi="宋体" w:eastAsia="宋体" w:cs="宋体"/>
                <w:szCs w:val="21"/>
              </w:rPr>
            </w:pPr>
            <w:r>
              <w:rPr>
                <w:rFonts w:hint="eastAsia" w:ascii="宋体" w:hAnsi="宋体" w:eastAsia="宋体" w:cs="宋体"/>
                <w:szCs w:val="21"/>
              </w:rPr>
              <w:t>480</w:t>
            </w:r>
          </w:p>
        </w:tc>
        <w:tc>
          <w:tcPr>
            <w:tcW w:w="570" w:type="dxa"/>
            <w:vAlign w:val="center"/>
          </w:tcPr>
          <w:p>
            <w:pPr>
              <w:jc w:val="center"/>
              <w:rPr>
                <w:rFonts w:ascii="宋体" w:hAnsi="宋体" w:eastAsia="宋体" w:cs="宋体"/>
                <w:szCs w:val="21"/>
              </w:rPr>
            </w:pPr>
            <w:r>
              <w:rPr>
                <w:rFonts w:hint="eastAsia" w:ascii="宋体" w:hAnsi="宋体" w:eastAsia="宋体" w:cs="宋体"/>
                <w:szCs w:val="21"/>
              </w:rPr>
              <w:t>240</w:t>
            </w: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240</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26</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4.专业核心课内容及要求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268"/>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268"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97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互联网金融概论</w:t>
            </w:r>
          </w:p>
        </w:tc>
        <w:tc>
          <w:tcPr>
            <w:tcW w:w="5975" w:type="dxa"/>
            <w:vAlign w:val="center"/>
          </w:tcPr>
          <w:p>
            <w:pP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互联网金融是一门新型的实践性很强的金融课程。所以该课程综合了相关的最新资料、理论与实践，系统将互联网金融这一新生金融业态的产生、成长、发展和监管，使得课程体系更加完善。该课程应用一些的互联网金融案例进行实证剖析，使学生更加深入理解互联网金融的本质，以及熟悉互联网金融的最基础的知识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互联网金融法律法规</w:t>
            </w:r>
          </w:p>
        </w:tc>
        <w:tc>
          <w:tcPr>
            <w:tcW w:w="5975" w:type="dxa"/>
            <w:vAlign w:val="center"/>
          </w:tcPr>
          <w:p>
            <w:pPr>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该课程从第三方支付、P2P网贷、众筹、互联网金融理财、大数据金融及信息网络安全、产业发展、互联网金融风险防控等方面，汇集了互联网金融相关法律，让学生较为直观的了解互联网金融法律法规的相关内容，同时该课程为人们提供了一扇“窗口”，便于学生查阅和研究，为将来工作于互联网金融管理决策中做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国际金融学</w:t>
            </w:r>
          </w:p>
        </w:tc>
        <w:tc>
          <w:tcPr>
            <w:tcW w:w="5975"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国际金融学这门课程集中于经济的宏观方面，从国民经济整体角度来分析和解决问题，使之具有高度的理论概括性以及统一的分析框架。本课程将宏观与微观、理论与实务合一的国际金融学教科书，难免显得有较强的堆砌感，篇幅过长并容易冲淡核心理论的学习；另一方面，将相关科目重复交叉的现象，完全可以而且应该在上述课程中进行相应扩展以包涵进去，这样在学科体系上更加自然．更符合现代市场经济的发展方向，也有利学生学习掌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互联网金融保险</w:t>
            </w:r>
          </w:p>
        </w:tc>
        <w:tc>
          <w:tcPr>
            <w:tcW w:w="5975"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是向学生阐述了一种以计算机互联网为媒介的新兴保险营销模式，让学生了解和认识这种新的保险模式，了解有别于传统的保险代理人营销模式。同时，让学生对保险公司或新型第三方保险网以互联网和电子商务技术为工具来支持保险销售的经营管理活动经济行为有一定的知识储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互联网金融营销</w:t>
            </w:r>
          </w:p>
        </w:tc>
        <w:tc>
          <w:tcPr>
            <w:tcW w:w="5975" w:type="dxa"/>
            <w:vAlign w:val="center"/>
          </w:tcPr>
          <w:p>
            <w:pPr>
              <w:wordWrap w:val="0"/>
              <w:spacing w:line="320" w:lineRule="atLeast"/>
              <w:rPr>
                <w:rFonts w:ascii="Verdana" w:hAnsi="Verdana" w:eastAsia="宋体" w:cs="Times New Roman"/>
                <w:color w:val="000000" w:themeColor="text1"/>
                <w:kern w:val="0"/>
                <w:sz w:val="18"/>
                <w:szCs w:val="18"/>
              </w:rPr>
            </w:pPr>
            <w:r>
              <w:rPr>
                <w:rFonts w:ascii="Verdana" w:hAnsi="Verdana" w:eastAsia="宋体" w:cs="Times New Roman"/>
                <w:color w:val="000000" w:themeColor="text1"/>
                <w:kern w:val="0"/>
                <w:sz w:val="18"/>
                <w:szCs w:val="18"/>
              </w:rPr>
              <w:t>该课程主要讲述了金融营销的相关方式方法，通过对应的案例向学生较为全面的讲述相关方式方法的运用。同时将之前所学过的其他金融学等相关系的知识内容相结合，让学生通过独立思考，以种种创新的方式方法提升顾客的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互联网金融支付</w:t>
            </w:r>
          </w:p>
        </w:tc>
        <w:tc>
          <w:tcPr>
            <w:tcW w:w="5975" w:type="dxa"/>
            <w:vAlign w:val="center"/>
          </w:tcPr>
          <w:p>
            <w:pPr>
              <w:wordWrap w:val="0"/>
              <w:spacing w:line="320" w:lineRule="atLeast"/>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主要从互联网支付方面入手，讲述什么是互联网支付，从互联网支付引申到金融方面，很好地将互联网金融支付这个概念诠释。该课程从网银、第三方支付、移动支付等方面入手，同时从微观层面上说，让学生了解以及学习互联网金融支付直接涉及到用户的财产安全等切身利益等风险问题，进一步为学生以后在金融支付风险方面知道如何防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7</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P2P股权与众筹</w:t>
            </w:r>
          </w:p>
        </w:tc>
        <w:tc>
          <w:tcPr>
            <w:tcW w:w="5975" w:type="dxa"/>
            <w:vAlign w:val="center"/>
          </w:tcPr>
          <w:p>
            <w:pPr>
              <w:rPr>
                <w:rFonts w:ascii="宋体" w:hAnsi="宋体" w:eastAsia="宋体" w:cs="Times New Roman"/>
                <w:color w:val="000000" w:themeColor="text1"/>
                <w:kern w:val="0"/>
                <w:sz w:val="20"/>
                <w:szCs w:val="20"/>
                <w:shd w:val="clear" w:color="auto" w:fill="FFFFFF"/>
              </w:rPr>
            </w:pPr>
            <w:r>
              <w:rPr>
                <w:rFonts w:ascii="宋体" w:hAnsi="宋体" w:eastAsia="宋体" w:cs="Times New Roman"/>
                <w:color w:val="000000" w:themeColor="text1"/>
                <w:kern w:val="0"/>
                <w:sz w:val="20"/>
                <w:szCs w:val="20"/>
                <w:shd w:val="clear" w:color="auto" w:fill="FFFFFF"/>
              </w:rPr>
              <w:t>该课程</w:t>
            </w:r>
            <w:r>
              <w:rPr>
                <w:rFonts w:hint="eastAsia" w:ascii="宋体" w:hAnsi="宋体" w:eastAsia="宋体" w:cs="Times New Roman"/>
                <w:color w:val="000000" w:themeColor="text1"/>
                <w:kern w:val="0"/>
                <w:sz w:val="20"/>
                <w:szCs w:val="20"/>
                <w:shd w:val="clear" w:color="auto" w:fill="FFFFFF"/>
              </w:rPr>
              <w:t>内容主要涉及P2P、众筹融资的各个方面，由浅入深地向学生讲解了众筹融资的策划与实施过程等，其主要内容包括了解众筹概念、了解众筹平台、学习众筹融资的相关内容、如何完成众筹和不同模式下的众筹融资方法等。该课程侧重实践，有少量介绍众筹的未来发展概况等互联网知识，同时向学生列举了实际的案例分析、操作步骤及平台介绍等内容，让学生真正了解并参与到众筹融资当中。为学生将来有众筹融资创业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268"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商业银行经营管理</w:t>
            </w:r>
          </w:p>
        </w:tc>
        <w:tc>
          <w:tcPr>
            <w:tcW w:w="5975"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是教育部确定的21世纪高等学校经济学、管理学专业的核心课程，在经济管理类教学中居于核心地位。该课程在商业银行经营管理的结构、内容上有所创新。既包括了商业银行经营管理的基本理论，又概括了商业银行的实践，并介绍了业务和应用技术；既研究了商业银行的传统业务管理，又把目光投向创新业务管理、市场营销、产品定价等新领域。可以为学生投资理财、经济、会计、金融等专业化过程打下基础，也可以为学生将来进入商业银行工作提供专业化知识。</w:t>
            </w: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5. 专业拓展课设置及进程安排表（共计22学分，占总学时10.34%）</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6"/>
        <w:gridCol w:w="1420"/>
        <w:gridCol w:w="2269"/>
        <w:gridCol w:w="714"/>
        <w:gridCol w:w="570"/>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422"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2266"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2982"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7" w:type="dxa"/>
            <w:vMerge w:val="continue"/>
            <w:vAlign w:val="center"/>
          </w:tcPr>
          <w:p>
            <w:pPr>
              <w:tabs>
                <w:tab w:val="left" w:pos="4760"/>
              </w:tabs>
              <w:jc w:val="center"/>
              <w:rPr>
                <w:rFonts w:ascii="宋体" w:hAnsi="宋体" w:eastAsia="宋体" w:cs="Times New Roman"/>
                <w:szCs w:val="21"/>
              </w:rPr>
            </w:pPr>
          </w:p>
        </w:tc>
        <w:tc>
          <w:tcPr>
            <w:tcW w:w="1422" w:type="dxa"/>
            <w:vMerge w:val="continue"/>
            <w:vAlign w:val="center"/>
          </w:tcPr>
          <w:p>
            <w:pPr>
              <w:tabs>
                <w:tab w:val="left" w:pos="4760"/>
              </w:tabs>
              <w:jc w:val="center"/>
              <w:rPr>
                <w:rFonts w:ascii="宋体" w:hAnsi="宋体" w:eastAsia="宋体" w:cs="Times New Roman"/>
                <w:szCs w:val="21"/>
              </w:rPr>
            </w:pPr>
          </w:p>
        </w:tc>
        <w:tc>
          <w:tcPr>
            <w:tcW w:w="2266" w:type="dxa"/>
            <w:vMerge w:val="continue"/>
            <w:vAlign w:val="center"/>
          </w:tcPr>
          <w:p>
            <w:pPr>
              <w:tabs>
                <w:tab w:val="left" w:pos="4760"/>
              </w:tabs>
              <w:jc w:val="center"/>
              <w:rPr>
                <w:rFonts w:ascii="宋体" w:hAnsi="宋体" w:eastAsia="宋体" w:cs="Times New Roman"/>
                <w:szCs w:val="21"/>
              </w:rPr>
            </w:pPr>
          </w:p>
        </w:tc>
        <w:tc>
          <w:tcPr>
            <w:tcW w:w="714"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570"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4" w:hRule="atLeas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422" w:type="dxa"/>
            <w:vAlign w:val="center"/>
          </w:tcPr>
          <w:p>
            <w:pPr>
              <w:jc w:val="center"/>
              <w:rPr>
                <w:rFonts w:ascii="宋体" w:hAnsi="宋体" w:eastAsia="宋体" w:cs="宋体"/>
                <w:sz w:val="22"/>
              </w:rPr>
            </w:pPr>
            <w:r>
              <w:rPr>
                <w:rFonts w:hint="eastAsia"/>
                <w:sz w:val="22"/>
              </w:rPr>
              <w:t>　IFM 505</w:t>
            </w:r>
          </w:p>
        </w:tc>
        <w:tc>
          <w:tcPr>
            <w:tcW w:w="2266" w:type="dxa"/>
            <w:vAlign w:val="center"/>
          </w:tcPr>
          <w:p>
            <w:pPr>
              <w:jc w:val="center"/>
              <w:rPr>
                <w:rFonts w:ascii="宋体" w:hAnsi="宋体" w:eastAsia="宋体" w:cs="宋体"/>
                <w:sz w:val="22"/>
              </w:rPr>
            </w:pPr>
            <w:r>
              <w:rPr>
                <w:rFonts w:hint="eastAsia"/>
                <w:sz w:val="22"/>
              </w:rPr>
              <w:t>期货市场理论与实务</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jc w:val="center"/>
              <w:rPr>
                <w:rFonts w:ascii="宋体" w:hAnsi="宋体"/>
                <w:color w:val="000000" w:themeColor="text1"/>
                <w:sz w:val="20"/>
                <w:szCs w:val="20"/>
              </w:rPr>
            </w:pPr>
          </w:p>
        </w:tc>
        <w:tc>
          <w:tcPr>
            <w:tcW w:w="708" w:type="dxa"/>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422" w:type="dxa"/>
            <w:vAlign w:val="center"/>
          </w:tcPr>
          <w:p>
            <w:pPr>
              <w:jc w:val="center"/>
              <w:rPr>
                <w:rFonts w:ascii="宋体" w:hAnsi="宋体" w:eastAsia="宋体" w:cs="宋体"/>
                <w:sz w:val="22"/>
              </w:rPr>
            </w:pPr>
            <w:r>
              <w:rPr>
                <w:rFonts w:hint="eastAsia"/>
                <w:sz w:val="22"/>
              </w:rPr>
              <w:t>IFM 104</w:t>
            </w:r>
          </w:p>
        </w:tc>
        <w:tc>
          <w:tcPr>
            <w:tcW w:w="2266" w:type="dxa"/>
            <w:vAlign w:val="center"/>
          </w:tcPr>
          <w:p>
            <w:pPr>
              <w:jc w:val="center"/>
              <w:rPr>
                <w:rFonts w:ascii="宋体" w:hAnsi="宋体" w:eastAsia="宋体" w:cs="宋体"/>
                <w:sz w:val="22"/>
              </w:rPr>
            </w:pPr>
            <w:r>
              <w:rPr>
                <w:rFonts w:hint="eastAsia"/>
                <w:sz w:val="22"/>
              </w:rPr>
              <w:t>管理学基础</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2</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3</w:t>
            </w:r>
          </w:p>
        </w:tc>
        <w:tc>
          <w:tcPr>
            <w:tcW w:w="1422" w:type="dxa"/>
            <w:vAlign w:val="center"/>
          </w:tcPr>
          <w:p>
            <w:pPr>
              <w:jc w:val="center"/>
              <w:rPr>
                <w:rFonts w:ascii="宋体" w:hAnsi="宋体" w:eastAsia="宋体" w:cs="宋体"/>
                <w:sz w:val="22"/>
              </w:rPr>
            </w:pPr>
            <w:r>
              <w:rPr>
                <w:rFonts w:hint="eastAsia"/>
                <w:sz w:val="22"/>
              </w:rPr>
              <w:t>IFM 403</w:t>
            </w:r>
          </w:p>
        </w:tc>
        <w:tc>
          <w:tcPr>
            <w:tcW w:w="2266" w:type="dxa"/>
            <w:vAlign w:val="center"/>
          </w:tcPr>
          <w:p>
            <w:pPr>
              <w:jc w:val="center"/>
              <w:rPr>
                <w:rFonts w:ascii="宋体" w:hAnsi="宋体" w:eastAsia="宋体" w:cs="宋体"/>
                <w:sz w:val="22"/>
              </w:rPr>
            </w:pPr>
            <w:r>
              <w:rPr>
                <w:rFonts w:hint="eastAsia"/>
                <w:sz w:val="22"/>
              </w:rPr>
              <w:t>企业战略管理</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 w:val="15"/>
                <w:szCs w:val="15"/>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4</w:t>
            </w:r>
          </w:p>
        </w:tc>
        <w:tc>
          <w:tcPr>
            <w:tcW w:w="1422" w:type="dxa"/>
            <w:vAlign w:val="center"/>
          </w:tcPr>
          <w:p>
            <w:pPr>
              <w:jc w:val="center"/>
              <w:rPr>
                <w:rFonts w:ascii="宋体" w:hAnsi="宋体" w:eastAsia="宋体" w:cs="宋体"/>
                <w:sz w:val="22"/>
              </w:rPr>
            </w:pPr>
            <w:r>
              <w:rPr>
                <w:rFonts w:hint="eastAsia"/>
                <w:sz w:val="22"/>
              </w:rPr>
              <w:t>　IFM 406</w:t>
            </w:r>
          </w:p>
        </w:tc>
        <w:tc>
          <w:tcPr>
            <w:tcW w:w="2266" w:type="dxa"/>
            <w:vAlign w:val="center"/>
          </w:tcPr>
          <w:p>
            <w:pPr>
              <w:jc w:val="center"/>
              <w:rPr>
                <w:rFonts w:ascii="宋体" w:hAnsi="宋体" w:eastAsia="宋体" w:cs="宋体"/>
                <w:sz w:val="22"/>
              </w:rPr>
            </w:pPr>
            <w:r>
              <w:rPr>
                <w:rFonts w:hint="eastAsia"/>
                <w:sz w:val="22"/>
              </w:rPr>
              <w:t>证券交易</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1422" w:type="dxa"/>
            <w:vAlign w:val="center"/>
          </w:tcPr>
          <w:p>
            <w:pPr>
              <w:jc w:val="center"/>
              <w:rPr>
                <w:rFonts w:ascii="宋体" w:hAnsi="宋体" w:eastAsia="宋体" w:cs="宋体"/>
                <w:sz w:val="22"/>
              </w:rPr>
            </w:pPr>
            <w:r>
              <w:rPr>
                <w:rFonts w:hint="eastAsia"/>
                <w:sz w:val="22"/>
              </w:rPr>
              <w:t>IFM 506　</w:t>
            </w:r>
          </w:p>
        </w:tc>
        <w:tc>
          <w:tcPr>
            <w:tcW w:w="2266" w:type="dxa"/>
            <w:vAlign w:val="center"/>
          </w:tcPr>
          <w:p>
            <w:pPr>
              <w:jc w:val="center"/>
              <w:rPr>
                <w:rFonts w:ascii="宋体" w:hAnsi="宋体" w:eastAsia="宋体" w:cs="宋体"/>
                <w:sz w:val="22"/>
              </w:rPr>
            </w:pPr>
            <w:r>
              <w:rPr>
                <w:rFonts w:hint="eastAsia"/>
                <w:sz w:val="22"/>
              </w:rPr>
              <w:t>行为金融学</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highlight w:val="yellow"/>
              </w:rPr>
            </w:pPr>
          </w:p>
        </w:tc>
        <w:tc>
          <w:tcPr>
            <w:tcW w:w="708" w:type="dxa"/>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shd w:val="clear" w:color="auto" w:fill="FFFFFF"/>
              <w:adjustRightInd w:val="0"/>
              <w:snapToGrid w:val="0"/>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6</w:t>
            </w:r>
          </w:p>
        </w:tc>
        <w:tc>
          <w:tcPr>
            <w:tcW w:w="1422" w:type="dxa"/>
            <w:vAlign w:val="center"/>
          </w:tcPr>
          <w:p>
            <w:pPr>
              <w:jc w:val="center"/>
              <w:rPr>
                <w:rFonts w:ascii="宋体" w:hAnsi="宋体" w:eastAsia="宋体" w:cs="宋体"/>
                <w:sz w:val="22"/>
              </w:rPr>
            </w:pPr>
            <w:r>
              <w:rPr>
                <w:rFonts w:hint="eastAsia"/>
                <w:sz w:val="22"/>
              </w:rPr>
              <w:t>IFM 203</w:t>
            </w:r>
          </w:p>
        </w:tc>
        <w:tc>
          <w:tcPr>
            <w:tcW w:w="2266" w:type="dxa"/>
            <w:vAlign w:val="center"/>
          </w:tcPr>
          <w:p>
            <w:pPr>
              <w:jc w:val="center"/>
              <w:rPr>
                <w:rFonts w:ascii="宋体" w:hAnsi="宋体" w:eastAsia="宋体" w:cs="宋体"/>
                <w:sz w:val="22"/>
              </w:rPr>
            </w:pPr>
            <w:r>
              <w:rPr>
                <w:rFonts w:hint="eastAsia"/>
                <w:sz w:val="22"/>
              </w:rPr>
              <w:t>会计基础</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63" w:type="dxa"/>
            <w:vAlign w:val="center"/>
          </w:tcPr>
          <w:p>
            <w:pPr>
              <w:spacing w:line="240" w:lineRule="exact"/>
              <w:jc w:val="center"/>
              <w:rPr>
                <w:rFonts w:ascii="宋体" w:hAnsi="宋体"/>
                <w:color w:val="000000" w:themeColor="text1"/>
                <w:sz w:val="20"/>
                <w:szCs w:val="20"/>
              </w:rPr>
            </w:pPr>
          </w:p>
        </w:tc>
        <w:tc>
          <w:tcPr>
            <w:tcW w:w="708" w:type="dxa"/>
            <w:tcBorders>
              <w:bottom w:val="single" w:color="auto" w:sz="4" w:space="0"/>
            </w:tcBorders>
            <w:vAlign w:val="center"/>
          </w:tcPr>
          <w:p>
            <w:pPr>
              <w:jc w:val="center"/>
              <w:rPr>
                <w:rFonts w:ascii="宋体" w:hAnsi="宋体" w:eastAsia="宋体" w:cs="宋体"/>
                <w:sz w:val="22"/>
              </w:rPr>
            </w:pPr>
            <w:r>
              <w:rPr>
                <w:rFonts w:hint="eastAsia" w:ascii="宋体" w:hAnsi="宋体" w:eastAsia="宋体" w:cs="宋体"/>
                <w:sz w:val="22"/>
              </w:rPr>
              <w:t>3</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7</w:t>
            </w:r>
          </w:p>
        </w:tc>
        <w:tc>
          <w:tcPr>
            <w:tcW w:w="1422" w:type="dxa"/>
            <w:vAlign w:val="center"/>
          </w:tcPr>
          <w:p>
            <w:pPr>
              <w:widowControl/>
              <w:jc w:val="center"/>
              <w:textAlignment w:val="center"/>
              <w:rPr>
                <w:sz w:val="22"/>
              </w:rPr>
            </w:pPr>
            <w:r>
              <w:rPr>
                <w:rFonts w:ascii="宋体" w:hAnsi="宋体" w:cs="宋体"/>
                <w:kern w:val="0"/>
                <w:sz w:val="20"/>
                <w:szCs w:val="20"/>
              </w:rPr>
              <w:t>ABE 412</w:t>
            </w:r>
          </w:p>
        </w:tc>
        <w:tc>
          <w:tcPr>
            <w:tcW w:w="2266" w:type="dxa"/>
            <w:vAlign w:val="center"/>
          </w:tcPr>
          <w:p>
            <w:pPr>
              <w:jc w:val="center"/>
              <w:rPr>
                <w:rFonts w:ascii="宋体" w:hAnsi="宋体" w:cs="宋体"/>
                <w:bCs/>
                <w:szCs w:val="21"/>
              </w:rPr>
            </w:pPr>
            <w:r>
              <w:rPr>
                <w:rFonts w:ascii="宋体" w:hAnsi="宋体" w:cs="宋体"/>
                <w:bCs/>
                <w:szCs w:val="21"/>
              </w:rPr>
              <w:t>Strategic Marketing</w:t>
            </w:r>
          </w:p>
          <w:p>
            <w:pPr>
              <w:jc w:val="center"/>
              <w:rPr>
                <w:sz w:val="22"/>
              </w:rPr>
            </w:pPr>
            <w:r>
              <w:rPr>
                <w:rFonts w:hint="eastAsia" w:ascii="宋体" w:hAnsi="宋体" w:cs="宋体"/>
                <w:bCs/>
                <w:szCs w:val="21"/>
              </w:rPr>
              <w:t>(SM)   战略市场营销</w:t>
            </w:r>
          </w:p>
        </w:tc>
        <w:tc>
          <w:tcPr>
            <w:tcW w:w="714" w:type="dxa"/>
            <w:vAlign w:val="center"/>
          </w:tcPr>
          <w:p>
            <w:pPr>
              <w:widowControl/>
              <w:jc w:val="center"/>
              <w:textAlignment w:val="center"/>
              <w:rPr>
                <w:rFonts w:ascii="宋体" w:hAnsi="宋体"/>
                <w:color w:val="000000" w:themeColor="text1"/>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color w:val="000000" w:themeColor="text1"/>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sz w:val="20"/>
                <w:szCs w:val="20"/>
              </w:rPr>
              <w:t>2</w:t>
            </w:r>
          </w:p>
        </w:tc>
        <w:tc>
          <w:tcPr>
            <w:tcW w:w="963" w:type="dxa"/>
            <w:vAlign w:val="center"/>
          </w:tcPr>
          <w:p>
            <w:pPr>
              <w:spacing w:line="360" w:lineRule="auto"/>
              <w:jc w:val="center"/>
              <w:rPr>
                <w:rFonts w:ascii="宋体" w:hAnsi="宋体"/>
                <w:color w:val="000000" w:themeColor="text1"/>
                <w:sz w:val="20"/>
                <w:szCs w:val="20"/>
              </w:rPr>
            </w:pPr>
          </w:p>
        </w:tc>
        <w:tc>
          <w:tcPr>
            <w:tcW w:w="708" w:type="dxa"/>
            <w:tcBorders>
              <w:bottom w:val="single" w:color="auto" w:sz="4" w:space="0"/>
            </w:tcBorders>
            <w:vAlign w:val="center"/>
          </w:tcPr>
          <w:p>
            <w:pPr>
              <w:widowControl/>
              <w:jc w:val="center"/>
              <w:textAlignment w:val="center"/>
              <w:rPr>
                <w:rFonts w:ascii="宋体" w:hAnsi="宋体" w:eastAsia="宋体" w:cs="宋体"/>
                <w:sz w:val="22"/>
              </w:rPr>
            </w:pPr>
            <w:r>
              <w:rPr>
                <w:rFonts w:hint="eastAsia" w:ascii="宋体" w:hAnsi="宋体"/>
                <w:sz w:val="20"/>
                <w:szCs w:val="20"/>
              </w:rPr>
              <w:t>2</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color w:val="000000" w:themeColor="text1"/>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8</w:t>
            </w:r>
          </w:p>
        </w:tc>
        <w:tc>
          <w:tcPr>
            <w:tcW w:w="1422"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406</w:t>
            </w:r>
          </w:p>
        </w:tc>
        <w:tc>
          <w:tcPr>
            <w:tcW w:w="2266" w:type="dxa"/>
            <w:vAlign w:val="center"/>
          </w:tcPr>
          <w:p>
            <w:pPr>
              <w:jc w:val="center"/>
              <w:rPr>
                <w:rFonts w:ascii="宋体" w:hAnsi="宋体" w:cs="宋体"/>
                <w:bCs/>
                <w:szCs w:val="21"/>
              </w:rPr>
            </w:pPr>
            <w:r>
              <w:rPr>
                <w:rFonts w:hint="eastAsia" w:ascii="宋体" w:hAnsi="宋体" w:cs="宋体"/>
                <w:bCs/>
                <w:szCs w:val="21"/>
              </w:rPr>
              <w:t xml:space="preserve">Managing Agile Organisations and People（MAOP） </w:t>
            </w:r>
          </w:p>
          <w:p>
            <w:pPr>
              <w:jc w:val="center"/>
              <w:rPr>
                <w:rFonts w:ascii="宋体" w:hAnsi="宋体" w:cs="宋体"/>
                <w:bCs/>
                <w:szCs w:val="21"/>
              </w:rPr>
            </w:pPr>
            <w:r>
              <w:rPr>
                <w:rFonts w:hint="eastAsia" w:ascii="宋体" w:hAnsi="宋体" w:cs="宋体"/>
                <w:bCs/>
                <w:szCs w:val="21"/>
              </w:rPr>
              <w:t>敏捷组织和人员管理</w:t>
            </w:r>
          </w:p>
        </w:tc>
        <w:tc>
          <w:tcPr>
            <w:tcW w:w="714"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jc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tcBorders>
              <w:bottom w:val="single" w:color="auto" w:sz="4" w:space="0"/>
            </w:tcBorders>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4</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9</w:t>
            </w:r>
          </w:p>
        </w:tc>
        <w:tc>
          <w:tcPr>
            <w:tcW w:w="1422"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ABE 407</w:t>
            </w:r>
          </w:p>
        </w:tc>
        <w:tc>
          <w:tcPr>
            <w:tcW w:w="2271" w:type="dxa"/>
            <w:vAlign w:val="center"/>
          </w:tcPr>
          <w:p>
            <w:pPr>
              <w:jc w:val="center"/>
              <w:rPr>
                <w:rFonts w:ascii="宋体" w:hAnsi="宋体" w:cs="宋体"/>
                <w:bCs/>
                <w:szCs w:val="21"/>
              </w:rPr>
            </w:pPr>
            <w:r>
              <w:rPr>
                <w:rFonts w:hint="eastAsia" w:ascii="宋体" w:hAnsi="宋体" w:cs="宋体"/>
                <w:sz w:val="18"/>
                <w:szCs w:val="18"/>
              </w:rPr>
              <w:t>Integrated Marketing Communications(IMC) 整合营销传播</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360" w:lineRule="auto"/>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shd w:val="clear" w:color="auto" w:fill="FFFFFF"/>
              <w:jc w:val="center"/>
              <w:rPr>
                <w:rFonts w:ascii="宋体" w:hAnsi="宋体" w:eastAsia="宋体" w:cs="Times New Roman"/>
                <w:color w:val="000000" w:themeColor="text1"/>
                <w:szCs w:val="21"/>
              </w:rPr>
            </w:pPr>
            <w:r>
              <w:rPr>
                <w:rFonts w:hint="eastAsia" w:ascii="宋体" w:hAnsi="宋体" w:eastAsia="宋体" w:cs="Times New Roman"/>
                <w:color w:val="000000" w:themeColor="text1"/>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widowControl/>
              <w:adjustRightInd w:val="0"/>
              <w:snapToGrid w:val="0"/>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7"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10</w:t>
            </w:r>
          </w:p>
        </w:tc>
        <w:tc>
          <w:tcPr>
            <w:tcW w:w="1422" w:type="dxa"/>
            <w:vAlign w:val="center"/>
          </w:tcPr>
          <w:p>
            <w:pPr>
              <w:widowControl/>
              <w:jc w:val="center"/>
              <w:textAlignment w:val="center"/>
              <w:rPr>
                <w:rFonts w:ascii="宋体" w:hAnsi="宋体" w:cs="宋体"/>
                <w:kern w:val="0"/>
                <w:sz w:val="20"/>
                <w:szCs w:val="20"/>
              </w:rPr>
            </w:pPr>
            <w:r>
              <w:rPr>
                <w:rFonts w:ascii="宋体" w:hAnsi="宋体" w:cs="宋体"/>
                <w:kern w:val="0"/>
                <w:sz w:val="20"/>
                <w:szCs w:val="20"/>
              </w:rPr>
              <w:t>HRM 815</w:t>
            </w:r>
          </w:p>
        </w:tc>
        <w:tc>
          <w:tcPr>
            <w:tcW w:w="2271" w:type="dxa"/>
            <w:vAlign w:val="center"/>
          </w:tcPr>
          <w:p>
            <w:pPr>
              <w:jc w:val="center"/>
              <w:rPr>
                <w:rFonts w:ascii="宋体" w:hAnsi="宋体" w:cs="宋体"/>
                <w:sz w:val="18"/>
                <w:szCs w:val="18"/>
              </w:rPr>
            </w:pPr>
          </w:p>
          <w:p>
            <w:pPr>
              <w:jc w:val="center"/>
              <w:rPr>
                <w:rFonts w:ascii="宋体" w:hAnsi="宋体" w:cs="宋体"/>
                <w:sz w:val="18"/>
                <w:szCs w:val="18"/>
              </w:rPr>
            </w:pPr>
            <w:r>
              <w:rPr>
                <w:rFonts w:ascii="宋体" w:hAnsi="宋体" w:cs="宋体"/>
                <w:sz w:val="18"/>
                <w:szCs w:val="18"/>
              </w:rPr>
              <w:t xml:space="preserve">Human Resource Management </w:t>
            </w:r>
          </w:p>
          <w:p>
            <w:pPr>
              <w:jc w:val="center"/>
              <w:rPr>
                <w:rFonts w:ascii="宋体" w:hAnsi="宋体" w:cs="宋体"/>
                <w:bCs/>
                <w:szCs w:val="21"/>
              </w:rPr>
            </w:pPr>
            <w:r>
              <w:rPr>
                <w:rFonts w:hint="eastAsia" w:ascii="宋体" w:hAnsi="宋体" w:cs="宋体"/>
                <w:sz w:val="18"/>
                <w:szCs w:val="18"/>
              </w:rPr>
              <w:t>(HRM)  人力资源管理</w:t>
            </w:r>
          </w:p>
        </w:tc>
        <w:tc>
          <w:tcPr>
            <w:tcW w:w="709" w:type="dxa"/>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570" w:type="dxa"/>
            <w:vAlign w:val="center"/>
          </w:tcPr>
          <w:p>
            <w:pPr>
              <w:widowControl/>
              <w:jc w:val="center"/>
              <w:textAlignment w:val="center"/>
              <w:rPr>
                <w:rFonts w:ascii="宋体" w:hAnsi="宋体"/>
                <w:sz w:val="20"/>
                <w:szCs w:val="20"/>
              </w:rPr>
            </w:pPr>
            <w:r>
              <w:rPr>
                <w:rFonts w:hint="eastAsia" w:ascii="宋体" w:hAnsi="宋体"/>
                <w:sz w:val="20"/>
                <w:szCs w:val="20"/>
              </w:rPr>
              <w:t>30</w:t>
            </w:r>
          </w:p>
        </w:tc>
        <w:tc>
          <w:tcPr>
            <w:tcW w:w="735"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963" w:type="dxa"/>
            <w:vAlign w:val="center"/>
          </w:tcPr>
          <w:p>
            <w:pPr>
              <w:spacing w:line="240" w:lineRule="exact"/>
              <w:jc w:val="center"/>
              <w:rPr>
                <w:rFonts w:ascii="宋体" w:hAnsi="宋体"/>
                <w:sz w:val="20"/>
                <w:szCs w:val="20"/>
              </w:rPr>
            </w:pPr>
          </w:p>
        </w:tc>
        <w:tc>
          <w:tcPr>
            <w:tcW w:w="708" w:type="dxa"/>
            <w:vAlign w:val="center"/>
          </w:tcPr>
          <w:p>
            <w:pPr>
              <w:widowControl/>
              <w:jc w:val="center"/>
              <w:textAlignment w:val="center"/>
              <w:rPr>
                <w:rFonts w:ascii="宋体" w:hAnsi="宋体"/>
                <w:sz w:val="20"/>
                <w:szCs w:val="20"/>
              </w:rPr>
            </w:pPr>
            <w:r>
              <w:rPr>
                <w:rFonts w:hint="eastAsia" w:ascii="宋体" w:hAnsi="宋体"/>
                <w:sz w:val="20"/>
                <w:szCs w:val="20"/>
              </w:rPr>
              <w:t>2</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3</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4245"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714" w:type="dxa"/>
            <w:vAlign w:val="center"/>
          </w:tcPr>
          <w:p>
            <w:pPr>
              <w:jc w:val="center"/>
              <w:rPr>
                <w:rFonts w:ascii="宋体" w:hAnsi="宋体" w:eastAsia="宋体" w:cs="宋体"/>
                <w:szCs w:val="21"/>
              </w:rPr>
            </w:pPr>
            <w:r>
              <w:rPr>
                <w:rFonts w:hint="eastAsia" w:ascii="宋体" w:hAnsi="宋体" w:eastAsia="宋体" w:cs="宋体"/>
                <w:szCs w:val="21"/>
              </w:rPr>
              <w:t>352</w:t>
            </w:r>
          </w:p>
        </w:tc>
        <w:tc>
          <w:tcPr>
            <w:tcW w:w="570" w:type="dxa"/>
            <w:vAlign w:val="center"/>
          </w:tcPr>
          <w:p>
            <w:pPr>
              <w:jc w:val="center"/>
              <w:rPr>
                <w:rFonts w:ascii="宋体" w:hAnsi="宋体" w:eastAsia="宋体" w:cs="宋体"/>
                <w:szCs w:val="21"/>
              </w:rPr>
            </w:pPr>
            <w:r>
              <w:rPr>
                <w:rFonts w:hint="eastAsia" w:ascii="宋体" w:hAnsi="宋体" w:eastAsia="宋体" w:cs="宋体"/>
                <w:szCs w:val="21"/>
              </w:rPr>
              <w:t>232</w:t>
            </w:r>
          </w:p>
        </w:tc>
        <w:tc>
          <w:tcPr>
            <w:tcW w:w="735" w:type="dxa"/>
            <w:vAlign w:val="center"/>
          </w:tcPr>
          <w:p>
            <w:pPr>
              <w:jc w:val="center"/>
              <w:rPr>
                <w:rFonts w:ascii="宋体" w:hAnsi="宋体" w:eastAsia="宋体" w:cs="宋体"/>
                <w:szCs w:val="21"/>
              </w:rPr>
            </w:pPr>
            <w:r>
              <w:rPr>
                <w:rFonts w:hint="eastAsia" w:ascii="宋体" w:hAnsi="宋体" w:eastAsia="宋体" w:cs="宋体"/>
                <w:szCs w:val="21"/>
              </w:rPr>
              <w:t>120</w:t>
            </w:r>
          </w:p>
        </w:tc>
        <w:tc>
          <w:tcPr>
            <w:tcW w:w="963" w:type="dxa"/>
            <w:vAlign w:val="center"/>
          </w:tcPr>
          <w:p>
            <w:pPr>
              <w:jc w:val="center"/>
              <w:rPr>
                <w:rFonts w:ascii="宋体" w:hAnsi="宋体" w:eastAsia="宋体" w:cs="宋体"/>
                <w:szCs w:val="21"/>
              </w:rPr>
            </w:pPr>
          </w:p>
        </w:tc>
        <w:tc>
          <w:tcPr>
            <w:tcW w:w="708" w:type="dxa"/>
            <w:vAlign w:val="center"/>
          </w:tcPr>
          <w:p>
            <w:pPr>
              <w:jc w:val="center"/>
              <w:rPr>
                <w:rFonts w:ascii="宋体" w:hAnsi="宋体" w:eastAsia="宋体" w:cs="宋体"/>
                <w:szCs w:val="21"/>
              </w:rPr>
            </w:pPr>
            <w:r>
              <w:rPr>
                <w:rFonts w:hint="eastAsia" w:ascii="宋体" w:hAnsi="宋体" w:eastAsia="宋体" w:cs="宋体"/>
                <w:szCs w:val="21"/>
              </w:rPr>
              <w:t>22</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bookmarkStart w:id="0" w:name="_GoBack"/>
            <w:bookmarkEnd w:id="0"/>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color w:val="FF0000"/>
          <w:sz w:val="24"/>
          <w:szCs w:val="24"/>
        </w:rPr>
      </w:pPr>
      <w:r>
        <w:rPr>
          <w:rFonts w:hint="eastAsia" w:ascii="仿宋_GB2312" w:hAnsi="Times New Roman" w:eastAsia="仿宋_GB2312" w:cs="Times New Roman"/>
          <w:b/>
          <w:sz w:val="24"/>
          <w:szCs w:val="24"/>
        </w:rPr>
        <w:t>6.专业拓展课内容及要求</w:t>
      </w:r>
    </w:p>
    <w:tbl>
      <w:tblPr>
        <w:tblStyle w:val="12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155"/>
        <w:gridCol w:w="5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序号</w:t>
            </w:r>
          </w:p>
        </w:tc>
        <w:tc>
          <w:tcPr>
            <w:tcW w:w="2155"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课程名称</w:t>
            </w:r>
          </w:p>
        </w:tc>
        <w:tc>
          <w:tcPr>
            <w:tcW w:w="5803" w:type="dxa"/>
          </w:tcPr>
          <w:p>
            <w:pPr>
              <w:spacing w:line="360" w:lineRule="auto"/>
              <w:jc w:val="center"/>
              <w:rPr>
                <w:rFonts w:ascii="宋体" w:hAnsi="宋体" w:eastAsia="宋体" w:cs="宋体"/>
                <w:b/>
                <w:color w:val="000000" w:themeColor="text1"/>
                <w:kern w:val="0"/>
                <w:sz w:val="20"/>
                <w:szCs w:val="21"/>
              </w:rPr>
            </w:pPr>
            <w:r>
              <w:rPr>
                <w:rFonts w:hint="eastAsia" w:ascii="宋体" w:hAnsi="宋体" w:eastAsia="宋体" w:cs="宋体"/>
                <w:b/>
                <w:color w:val="000000" w:themeColor="text1"/>
                <w:kern w:val="0"/>
                <w:sz w:val="20"/>
                <w:szCs w:val="21"/>
              </w:rPr>
              <w:t>主要教学内容及要求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期货市场理论与实务</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设计主要是针对当前期货理论课程教育在满足期货行业的实际需求面前弥补传统课程教育中的短板。让学生了解金融学中期货这门的相关内容知识点，同时总结期货投资理论与实务课程相应的一系列问题,从期货交易映射课堂、全面素质培养及新技术在期货课程的运用等措施,以满足学生就业及未来发展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2</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管理学基础</w:t>
            </w:r>
          </w:p>
        </w:tc>
        <w:tc>
          <w:tcPr>
            <w:tcW w:w="5803" w:type="dxa"/>
          </w:tcPr>
          <w:p>
            <w:pPr>
              <w:rPr>
                <w:rFonts w:ascii="宋体" w:hAnsi="宋体" w:eastAsia="宋体" w:cs="Times New Roman"/>
                <w:color w:val="000000"/>
                <w:kern w:val="0"/>
                <w:sz w:val="20"/>
                <w:szCs w:val="18"/>
              </w:rPr>
            </w:pPr>
            <w:r>
              <w:rPr>
                <w:rFonts w:ascii="宋体" w:hAnsi="宋体" w:eastAsia="宋体" w:cs="Times New Roman"/>
                <w:color w:val="000000"/>
                <w:kern w:val="0"/>
                <w:sz w:val="20"/>
                <w:szCs w:val="18"/>
              </w:rPr>
              <w:t>该课程以“实用为主、理论够用”为原则，根据学生实际需要的管理技能来安排知识内容。课程主要从管理基础知识与现代企业制度，随之结合管理的发展与需要，按照管理职能之间的逻辑关系分别介绍了决策、计划、领导、激励、协调、控制等六大职能，最后从人力资源管理和企业伦理与责任角度介绍了企业管理。从最现实的基础知识中学会管理的相关技能为以后工作做好相应的准备</w:t>
            </w:r>
            <w:r>
              <w:rPr>
                <w:rFonts w:hint="eastAsia" w:ascii="宋体" w:hAnsi="宋体" w:eastAsia="宋体" w:cs="Times New Roman"/>
                <w:color w:val="000000"/>
                <w:kern w:val="0"/>
                <w:sz w:val="20"/>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3</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企业战略管理</w:t>
            </w:r>
          </w:p>
        </w:tc>
        <w:tc>
          <w:tcPr>
            <w:tcW w:w="5803" w:type="dxa"/>
          </w:tcPr>
          <w:p>
            <w:pPr>
              <w:rPr>
                <w:rFonts w:hint="eastAsia" w:ascii="&amp;quot" w:hAnsi="&amp;quot" w:eastAsia="宋体" w:cs="宋体"/>
                <w:color w:val="000000"/>
                <w:kern w:val="0"/>
                <w:sz w:val="20"/>
                <w:szCs w:val="20"/>
              </w:rPr>
            </w:pPr>
            <w:r>
              <w:rPr>
                <w:rFonts w:ascii="&amp;quot" w:hAnsi="&amp;quot" w:eastAsia="宋体" w:cs="Times New Roman"/>
                <w:color w:val="000000"/>
                <w:kern w:val="0"/>
                <w:sz w:val="18"/>
                <w:szCs w:val="18"/>
              </w:rPr>
              <w:t>　</w:t>
            </w:r>
            <w:r>
              <w:rPr>
                <w:rFonts w:ascii="&amp;quot" w:hAnsi="&amp;quot" w:eastAsia="宋体" w:cs="Times New Roman"/>
                <w:color w:val="000000"/>
                <w:kern w:val="0"/>
                <w:sz w:val="20"/>
                <w:szCs w:val="20"/>
              </w:rPr>
              <w:t>企业战略管理是管理学科中一门基础课程，也是目前我国企业管理实践迫切解决的问题。本课程融合管理学、经济学、财务管理、市场营销、人力资源管理等多学科知识，让学生切身感受管理的高级阶段。该课程要求学生能够对企业战略管理的基本理论、基本方法和管理过程有一个全面的了解和掌握，并能够根据企业面临的内外环境进行相应的战略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4</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证券交易</w:t>
            </w:r>
          </w:p>
        </w:tc>
        <w:tc>
          <w:tcPr>
            <w:tcW w:w="5803" w:type="dxa"/>
            <w:vAlign w:val="center"/>
          </w:tcPr>
          <w:p>
            <w:pP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该课程是一门涉及面较广的金融学科专业拓展课程，包涵经济、金融、会计、统计及心理学等多方面的学科知识。注重培养学生如何着重介绍证券投资的对象、策略和方法等基本知识，学会分析证券发行和交易的过程，阐述证券价格波动的规律和原因。学习本课程的主要目的是：通过本课程中的证券理论、投资方法和策略及技术分析的学习，让学生能够掌握证券投资的基本理论和技术分析方法，树立正确的投资理念，掌握正确的投资方法，减少证券投资风险，获得证券投资决策的较全面的基本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5</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行为金融学</w:t>
            </w:r>
          </w:p>
        </w:tc>
        <w:tc>
          <w:tcPr>
            <w:tcW w:w="5803" w:type="dxa"/>
            <w:vAlign w:val="center"/>
          </w:tcPr>
          <w:p>
            <w:pPr>
              <w:wordWrap w:val="0"/>
              <w:spacing w:line="320" w:lineRule="atLeast"/>
              <w:rPr>
                <w:rFonts w:ascii="Verdana" w:hAnsi="Verdana" w:eastAsia="宋体" w:cs="Times New Roman"/>
                <w:color w:val="000000" w:themeColor="text1"/>
                <w:kern w:val="0"/>
                <w:sz w:val="20"/>
                <w:szCs w:val="18"/>
              </w:rPr>
            </w:pPr>
            <w:r>
              <w:rPr>
                <w:rFonts w:hint="eastAsia" w:ascii="Verdana" w:hAnsi="Verdana" w:eastAsia="宋体" w:cs="Times New Roman"/>
                <w:color w:val="000000" w:themeColor="text1"/>
                <w:kern w:val="0"/>
                <w:sz w:val="20"/>
                <w:szCs w:val="18"/>
              </w:rPr>
              <w:t>传统的金融学集中研究经典的资产定价模型，但心理学研究发现人并非是完全理性，市场也并非完全有效。所以该课程行为金融学是融合了心理学，实验经济学，行为学及金融学的交叉学科。它研究的是心理学现象如何影响金融行为。让学生了解在不确定条件下，认知偏差心理偏差如何影响投资者投资决策，从而影响资本市场表现。 </w:t>
            </w:r>
          </w:p>
          <w:p>
            <w:pPr>
              <w:wordWrap w:val="0"/>
              <w:spacing w:line="320" w:lineRule="atLeast"/>
              <w:rPr>
                <w:rFonts w:ascii="Verdana" w:hAnsi="Verdana" w:eastAsia="宋体" w:cs="Times New Roman"/>
                <w:color w:val="000000" w:themeColor="text1"/>
                <w:kern w:val="0"/>
                <w:sz w:val="20"/>
                <w:szCs w:val="18"/>
              </w:rPr>
            </w:pPr>
            <w:r>
              <w:rPr>
                <w:rFonts w:hint="eastAsia" w:ascii="Verdana" w:hAnsi="Verdana" w:eastAsia="宋体" w:cs="Times New Roman"/>
                <w:color w:val="000000" w:themeColor="text1"/>
                <w:kern w:val="0"/>
                <w:sz w:val="20"/>
                <w:szCs w:val="18"/>
              </w:rPr>
              <w:t>课程目标在于用轻松直观化的方式介绍行为金融学的经典知识点。同学们在了解概念之后，发挥主观能动性，继续自主广泛阅读，动手实证研究，能取得更好的学习效果，更深入地理解金融市场。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6</w:t>
            </w:r>
          </w:p>
        </w:tc>
        <w:tc>
          <w:tcPr>
            <w:tcW w:w="2155" w:type="dxa"/>
            <w:vAlign w:val="center"/>
          </w:tcPr>
          <w:p>
            <w:pPr>
              <w:jc w:val="center"/>
              <w:rPr>
                <w:rFonts w:ascii="宋体" w:hAnsi="宋体" w:eastAsia="宋体" w:cs="宋体"/>
                <w:kern w:val="0"/>
                <w:sz w:val="22"/>
              </w:rPr>
            </w:pPr>
            <w:r>
              <w:rPr>
                <w:rFonts w:hint="eastAsia" w:ascii="Times New Roman" w:hAnsi="Times New Roman" w:eastAsia="宋体" w:cs="Times New Roman"/>
                <w:kern w:val="0"/>
                <w:sz w:val="22"/>
              </w:rPr>
              <w:t>会计基础</w:t>
            </w:r>
          </w:p>
        </w:tc>
        <w:tc>
          <w:tcPr>
            <w:tcW w:w="5803" w:type="dxa"/>
            <w:vAlign w:val="center"/>
          </w:tcPr>
          <w:p>
            <w:pPr>
              <w:wordWrap w:val="0"/>
              <w:spacing w:line="320" w:lineRule="atLeast"/>
              <w:rPr>
                <w:rFonts w:ascii="宋体" w:hAnsi="宋体" w:eastAsia="宋体" w:cs="宋体"/>
                <w:bCs/>
                <w:color w:val="000000" w:themeColor="text1"/>
                <w:kern w:val="0"/>
                <w:sz w:val="20"/>
                <w:szCs w:val="21"/>
              </w:rPr>
            </w:pPr>
            <w:r>
              <w:rPr>
                <w:rFonts w:ascii="宋体" w:hAnsi="宋体" w:eastAsia="宋体" w:cs="宋体"/>
                <w:bCs/>
                <w:color w:val="000000" w:themeColor="text1"/>
                <w:kern w:val="0"/>
                <w:sz w:val="20"/>
                <w:szCs w:val="21"/>
              </w:rPr>
              <w:t>本课程是会计学的基础课程。通过本课程的学习，让零基础的学生掌握基本的会计理念、财务会计的基本概念框架和主要会计报表（即资产负债表、利润表及现金流量表）的结构与关联关系，理解各类典型经济业务及事项的会计处理，能够分析主要经济业务对会计信息的影响。</w:t>
            </w:r>
            <w:r>
              <w:rPr>
                <w:rFonts w:hint="eastAsia" w:ascii="宋体" w:hAnsi="宋体" w:eastAsia="宋体" w:cs="宋体"/>
                <w:bCs/>
                <w:color w:val="000000" w:themeColor="text1"/>
                <w:kern w:val="0"/>
                <w:sz w:val="20"/>
                <w:szCs w:val="21"/>
              </w:rPr>
              <w:t>为学生在以后学习相关的课程打下基础。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8</w:t>
            </w:r>
          </w:p>
        </w:tc>
        <w:tc>
          <w:tcPr>
            <w:tcW w:w="2155" w:type="dxa"/>
            <w:vAlign w:val="center"/>
          </w:tcPr>
          <w:p>
            <w:pPr>
              <w:jc w:val="center"/>
              <w:rPr>
                <w:rFonts w:ascii="宋体" w:hAnsi="宋体" w:eastAsia="宋体" w:cs="宋体"/>
                <w:bCs/>
                <w:kern w:val="0"/>
                <w:sz w:val="20"/>
                <w:szCs w:val="21"/>
              </w:rPr>
            </w:pPr>
            <w:r>
              <w:rPr>
                <w:rFonts w:ascii="宋体" w:hAnsi="宋体" w:eastAsia="宋体" w:cs="宋体"/>
                <w:bCs/>
                <w:kern w:val="0"/>
                <w:sz w:val="20"/>
                <w:szCs w:val="21"/>
              </w:rPr>
              <w:t>Strategic Marketing</w:t>
            </w:r>
          </w:p>
          <w:p>
            <w:pPr>
              <w:jc w:val="center"/>
              <w:rPr>
                <w:rFonts w:ascii="Times New Roman" w:hAnsi="Times New Roman" w:eastAsia="宋体" w:cs="Times New Roman"/>
                <w:kern w:val="0"/>
                <w:sz w:val="22"/>
              </w:rPr>
            </w:pPr>
            <w:r>
              <w:rPr>
                <w:rFonts w:hint="eastAsia" w:ascii="宋体" w:hAnsi="宋体" w:eastAsia="宋体" w:cs="宋体"/>
                <w:bCs/>
                <w:kern w:val="0"/>
                <w:sz w:val="20"/>
                <w:szCs w:val="21"/>
              </w:rPr>
              <w:t>(SM)   战略市场营销</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该课程主要内容是关于市场营销的概念以及发展趋势，介绍营销环境、营销战略、营销技巧以及营销过程中涉及的法律问题。</w:t>
            </w:r>
          </w:p>
          <w:p>
            <w:pPr>
              <w:rPr>
                <w:rFonts w:ascii="宋体" w:hAnsi="宋体" w:eastAsia="宋体" w:cs="宋体"/>
                <w:bCs/>
                <w:color w:val="000000" w:themeColor="text1"/>
                <w:kern w:val="0"/>
                <w:sz w:val="20"/>
                <w:szCs w:val="21"/>
              </w:rPr>
            </w:pPr>
            <w:r>
              <w:rPr>
                <w:rFonts w:hint="eastAsia" w:ascii="宋体" w:hAnsi="宋体" w:eastAsia="宋体" w:cs="宋体"/>
                <w:kern w:val="0"/>
                <w:sz w:val="18"/>
                <w:szCs w:val="18"/>
              </w:rPr>
              <w:t>通过本课程的学习使学生们理解营销活动的必要性，更加全面地掌握市场营销理论知识，培养学生的营销能力，使其在未来实践工作运用所学知识解决遇到的营销难题。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9</w:t>
            </w:r>
          </w:p>
        </w:tc>
        <w:tc>
          <w:tcPr>
            <w:tcW w:w="2155" w:type="dxa"/>
            <w:vAlign w:val="center"/>
          </w:tcPr>
          <w:p>
            <w:pPr>
              <w:jc w:val="center"/>
              <w:rPr>
                <w:rFonts w:ascii="宋体" w:hAnsi="宋体" w:eastAsia="宋体" w:cs="宋体"/>
                <w:bCs/>
                <w:kern w:val="0"/>
                <w:sz w:val="20"/>
                <w:szCs w:val="21"/>
              </w:rPr>
            </w:pPr>
            <w:r>
              <w:rPr>
                <w:rFonts w:hint="eastAsia" w:ascii="宋体" w:hAnsi="宋体" w:eastAsia="宋体" w:cs="宋体"/>
                <w:bCs/>
                <w:kern w:val="0"/>
                <w:sz w:val="20"/>
                <w:szCs w:val="21"/>
              </w:rPr>
              <w:t xml:space="preserve">Managing Agile Organisations and People（MAOP） </w:t>
            </w:r>
          </w:p>
          <w:p>
            <w:pPr>
              <w:jc w:val="center"/>
              <w:rPr>
                <w:rFonts w:ascii="宋体" w:hAnsi="宋体" w:eastAsia="宋体" w:cs="宋体"/>
                <w:bCs/>
                <w:kern w:val="0"/>
                <w:sz w:val="20"/>
                <w:szCs w:val="21"/>
              </w:rPr>
            </w:pPr>
            <w:r>
              <w:rPr>
                <w:rFonts w:hint="eastAsia" w:ascii="宋体" w:hAnsi="宋体" w:eastAsia="宋体" w:cs="宋体"/>
                <w:bCs/>
                <w:kern w:val="0"/>
                <w:sz w:val="20"/>
                <w:szCs w:val="21"/>
              </w:rPr>
              <w:t>敏捷组织和人员管理</w:t>
            </w:r>
          </w:p>
        </w:tc>
        <w:tc>
          <w:tcPr>
            <w:tcW w:w="5803" w:type="dxa"/>
            <w:vAlign w:val="center"/>
          </w:tcPr>
          <w:p>
            <w:pPr>
              <w:wordWrap w:val="0"/>
              <w:spacing w:line="320" w:lineRule="atLeast"/>
              <w:rPr>
                <w:rFonts w:ascii="Verdana" w:hAnsi="Verdana" w:eastAsia="宋体" w:cs="Times New Roman"/>
                <w:kern w:val="0"/>
                <w:sz w:val="18"/>
                <w:szCs w:val="18"/>
              </w:rPr>
            </w:pPr>
            <w:r>
              <w:rPr>
                <w:rFonts w:hint="eastAsia" w:ascii="宋体" w:hAnsi="宋体" w:eastAsia="宋体" w:cs="宋体"/>
                <w:kern w:val="0"/>
                <w:sz w:val="18"/>
                <w:szCs w:val="18"/>
              </w:rPr>
              <w:t>该课程主要内容是学习组织性质的变化，了解现代管理实践与原则，熟悉员工绩效环节和管理者的个人发展。</w:t>
            </w:r>
          </w:p>
          <w:p>
            <w:pPr>
              <w:wordWrap w:val="0"/>
              <w:spacing w:line="320" w:lineRule="atLeast"/>
              <w:rPr>
                <w:rFonts w:ascii="宋体" w:hAnsi="宋体" w:eastAsia="宋体" w:cs="宋体"/>
                <w:bCs/>
                <w:kern w:val="0"/>
                <w:sz w:val="20"/>
                <w:szCs w:val="21"/>
              </w:rPr>
            </w:pPr>
            <w:r>
              <w:rPr>
                <w:rFonts w:hint="eastAsia" w:ascii="宋体" w:hAnsi="宋体" w:eastAsia="宋体" w:cs="宋体"/>
                <w:kern w:val="0"/>
                <w:sz w:val="18"/>
                <w:szCs w:val="18"/>
              </w:rPr>
              <w:t>通过本课程的学习使学生们具备分析组织内外部环境的能力，嫩够提出支持采取具体战略的合理论据；具备分析、判断、商业意识能力，了解个人职责、熟悉人员管理，能够反思并制定合适的个人发展规划。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10</w:t>
            </w:r>
          </w:p>
        </w:tc>
        <w:tc>
          <w:tcPr>
            <w:tcW w:w="2155" w:type="dxa"/>
            <w:vAlign w:val="center"/>
          </w:tcPr>
          <w:p>
            <w:pPr>
              <w:jc w:val="center"/>
              <w:rPr>
                <w:rFonts w:ascii="宋体" w:hAnsi="宋体" w:eastAsia="宋体" w:cs="宋体"/>
                <w:bCs/>
                <w:kern w:val="0"/>
                <w:sz w:val="20"/>
                <w:szCs w:val="21"/>
              </w:rPr>
            </w:pPr>
            <w:r>
              <w:rPr>
                <w:rFonts w:hint="eastAsia" w:ascii="宋体" w:hAnsi="宋体" w:eastAsia="宋体" w:cs="宋体"/>
                <w:kern w:val="0"/>
                <w:sz w:val="18"/>
                <w:szCs w:val="18"/>
              </w:rPr>
              <w:t>Integrated Marketing Communications(IMC) 整合营销传播</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该课程主要内容是解释整合营销传播基本概念及原理，综合介绍整合营销传播在实现品牌、市场营销和企业目标中的重要性。</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通过本课程的学习使学生们掌握如何在各种实际情况下实现整合营销传播, 同时了解客户行为, 媒体计划和品牌战略的相关知识。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02" w:type="dxa"/>
            <w:vAlign w:val="center"/>
          </w:tcPr>
          <w:p>
            <w:pPr>
              <w:spacing w:line="360" w:lineRule="auto"/>
              <w:jc w:val="center"/>
              <w:rPr>
                <w:rFonts w:ascii="宋体" w:hAnsi="宋体" w:eastAsia="宋体" w:cs="宋体"/>
                <w:bCs/>
                <w:color w:val="000000" w:themeColor="text1"/>
                <w:kern w:val="0"/>
                <w:sz w:val="20"/>
                <w:szCs w:val="21"/>
              </w:rPr>
            </w:pPr>
            <w:r>
              <w:rPr>
                <w:rFonts w:hint="eastAsia" w:ascii="宋体" w:hAnsi="宋体" w:eastAsia="宋体" w:cs="宋体"/>
                <w:bCs/>
                <w:color w:val="000000" w:themeColor="text1"/>
                <w:kern w:val="0"/>
                <w:sz w:val="20"/>
                <w:szCs w:val="21"/>
              </w:rPr>
              <w:t>11</w:t>
            </w:r>
          </w:p>
        </w:tc>
        <w:tc>
          <w:tcPr>
            <w:tcW w:w="2155" w:type="dxa"/>
            <w:vAlign w:val="center"/>
          </w:tcPr>
          <w:p>
            <w:pPr>
              <w:jc w:val="center"/>
              <w:rPr>
                <w:rFonts w:ascii="宋体" w:hAnsi="宋体" w:eastAsia="宋体" w:cs="宋体"/>
                <w:kern w:val="0"/>
                <w:sz w:val="18"/>
                <w:szCs w:val="18"/>
              </w:rPr>
            </w:pPr>
          </w:p>
          <w:p>
            <w:pPr>
              <w:jc w:val="center"/>
              <w:rPr>
                <w:rFonts w:ascii="宋体" w:hAnsi="宋体" w:eastAsia="宋体" w:cs="宋体"/>
                <w:kern w:val="0"/>
                <w:sz w:val="18"/>
                <w:szCs w:val="18"/>
              </w:rPr>
            </w:pPr>
            <w:r>
              <w:rPr>
                <w:rFonts w:ascii="宋体" w:hAnsi="宋体" w:eastAsia="宋体" w:cs="宋体"/>
                <w:kern w:val="0"/>
                <w:sz w:val="18"/>
                <w:szCs w:val="18"/>
              </w:rPr>
              <w:t xml:space="preserve">Human Resource Management </w:t>
            </w:r>
          </w:p>
          <w:p>
            <w:pPr>
              <w:jc w:val="center"/>
              <w:rPr>
                <w:rFonts w:ascii="宋体" w:hAnsi="宋体" w:eastAsia="宋体" w:cs="宋体"/>
                <w:bCs/>
                <w:kern w:val="0"/>
                <w:sz w:val="20"/>
                <w:szCs w:val="21"/>
              </w:rPr>
            </w:pPr>
            <w:r>
              <w:rPr>
                <w:rFonts w:hint="eastAsia" w:ascii="宋体" w:hAnsi="宋体" w:eastAsia="宋体" w:cs="宋体"/>
                <w:kern w:val="0"/>
                <w:sz w:val="18"/>
                <w:szCs w:val="18"/>
              </w:rPr>
              <w:t>(HRM)  人力资源管理</w:t>
            </w:r>
          </w:p>
        </w:tc>
        <w:tc>
          <w:tcPr>
            <w:tcW w:w="5803" w:type="dxa"/>
            <w:vAlign w:val="center"/>
          </w:tcPr>
          <w:p>
            <w:pPr>
              <w:rPr>
                <w:rFonts w:ascii="宋体" w:hAnsi="宋体" w:eastAsia="宋体" w:cs="宋体"/>
                <w:kern w:val="0"/>
                <w:sz w:val="18"/>
                <w:szCs w:val="18"/>
              </w:rPr>
            </w:pPr>
            <w:r>
              <w:rPr>
                <w:rFonts w:hint="eastAsia" w:ascii="宋体" w:hAnsi="宋体" w:eastAsia="宋体" w:cs="宋体"/>
                <w:kern w:val="0"/>
                <w:sz w:val="18"/>
                <w:szCs w:val="18"/>
              </w:rPr>
              <w:t>该课程主要内容是分析人力资源管理的盖伦及其对组织的影响；评估人力资源管理在职场中的应用过程；评估人力资源管理所涉及的各种实践及应用情况（包括人力资源规划、人员配置、员工发展、员工关系和薪酬）；评估影响职场中员工关系的有关因素。</w:t>
            </w:r>
          </w:p>
          <w:p>
            <w:pPr>
              <w:rPr>
                <w:rFonts w:ascii="宋体" w:hAnsi="宋体" w:eastAsia="宋体" w:cs="宋体"/>
                <w:bCs/>
                <w:kern w:val="0"/>
                <w:sz w:val="20"/>
                <w:szCs w:val="21"/>
              </w:rPr>
            </w:pPr>
            <w:r>
              <w:rPr>
                <w:rFonts w:hint="eastAsia" w:ascii="宋体" w:hAnsi="宋体" w:eastAsia="宋体" w:cs="宋体"/>
                <w:kern w:val="0"/>
                <w:sz w:val="18"/>
                <w:szCs w:val="18"/>
              </w:rPr>
              <w:t>通过本课程的学习使学生们理解现代人力资源开发与管理的专业知识；行政管理与文化建设的专业知识；具有分析解决人力资源战略管理、进行人力资源开发和管理的基本能力。</w:t>
            </w:r>
          </w:p>
        </w:tc>
      </w:tr>
    </w:tbl>
    <w:p>
      <w:pPr>
        <w:spacing w:line="360" w:lineRule="auto"/>
        <w:ind w:firstLine="480"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7. 专业实践课设置及进程安排表（共计11学分，占总学时26.1%）</w:t>
      </w:r>
    </w:p>
    <w:tbl>
      <w:tblPr>
        <w:tblStyle w:val="26"/>
        <w:tblW w:w="101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59"/>
        <w:gridCol w:w="1423"/>
        <w:gridCol w:w="1843"/>
        <w:gridCol w:w="992"/>
        <w:gridCol w:w="712"/>
        <w:gridCol w:w="735"/>
        <w:gridCol w:w="963"/>
        <w:gridCol w:w="708"/>
        <w:gridCol w:w="709"/>
        <w:gridCol w:w="851"/>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序号</w:t>
            </w:r>
          </w:p>
        </w:tc>
        <w:tc>
          <w:tcPr>
            <w:tcW w:w="1423" w:type="dxa"/>
            <w:vMerge w:val="restart"/>
            <w:vAlign w:val="center"/>
          </w:tcPr>
          <w:p>
            <w:pPr>
              <w:widowControl/>
              <w:jc w:val="center"/>
              <w:rPr>
                <w:rFonts w:ascii="宋体" w:hAnsi="宋体" w:eastAsia="宋体" w:cs="Times New Roman"/>
                <w:szCs w:val="21"/>
              </w:rPr>
            </w:pPr>
          </w:p>
          <w:p>
            <w:pPr>
              <w:jc w:val="center"/>
              <w:rPr>
                <w:rFonts w:ascii="宋体" w:hAnsi="宋体" w:eastAsia="宋体" w:cs="Times New Roman"/>
                <w:szCs w:val="21"/>
              </w:rPr>
            </w:pPr>
            <w:r>
              <w:rPr>
                <w:rFonts w:hint="eastAsia" w:ascii="宋体" w:hAnsi="宋体" w:eastAsia="宋体" w:cs="Times New Roman"/>
                <w:szCs w:val="21"/>
              </w:rPr>
              <w:t>课程</w:t>
            </w:r>
          </w:p>
          <w:p>
            <w:pPr>
              <w:jc w:val="center"/>
              <w:rPr>
                <w:rFonts w:ascii="宋体" w:hAnsi="宋体" w:eastAsia="宋体" w:cs="Times New Roman"/>
                <w:szCs w:val="21"/>
              </w:rPr>
            </w:pPr>
            <w:r>
              <w:rPr>
                <w:rFonts w:hint="eastAsia" w:ascii="宋体" w:hAnsi="宋体" w:eastAsia="宋体" w:cs="Times New Roman"/>
                <w:szCs w:val="21"/>
              </w:rPr>
              <w:t>代码</w:t>
            </w:r>
          </w:p>
        </w:tc>
        <w:tc>
          <w:tcPr>
            <w:tcW w:w="1843"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课程名称</w:t>
            </w:r>
          </w:p>
        </w:tc>
        <w:tc>
          <w:tcPr>
            <w:tcW w:w="3402" w:type="dxa"/>
            <w:gridSpan w:val="4"/>
            <w:vAlign w:val="center"/>
          </w:tcPr>
          <w:p>
            <w:pPr>
              <w:jc w:val="center"/>
              <w:rPr>
                <w:rFonts w:ascii="宋体" w:hAnsi="宋体" w:eastAsia="宋体" w:cs="Times New Roman"/>
                <w:szCs w:val="21"/>
              </w:rPr>
            </w:pPr>
            <w:r>
              <w:rPr>
                <w:rFonts w:hint="eastAsia" w:ascii="宋体" w:hAnsi="宋体" w:eastAsia="宋体" w:cs="Times New Roman"/>
                <w:szCs w:val="21"/>
              </w:rPr>
              <w:t>学  时  数</w:t>
            </w:r>
          </w:p>
        </w:tc>
        <w:tc>
          <w:tcPr>
            <w:tcW w:w="708"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学分</w:t>
            </w:r>
          </w:p>
        </w:tc>
        <w:tc>
          <w:tcPr>
            <w:tcW w:w="709"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开课</w:t>
            </w:r>
          </w:p>
          <w:p>
            <w:pPr>
              <w:jc w:val="center"/>
              <w:rPr>
                <w:rFonts w:ascii="宋体" w:hAnsi="宋体" w:eastAsia="宋体" w:cs="Times New Roman"/>
                <w:szCs w:val="21"/>
              </w:rPr>
            </w:pPr>
            <w:r>
              <w:rPr>
                <w:rFonts w:hint="eastAsia" w:ascii="宋体" w:hAnsi="宋体" w:eastAsia="宋体" w:cs="Times New Roman"/>
                <w:szCs w:val="21"/>
              </w:rPr>
              <w:t>学期</w:t>
            </w:r>
          </w:p>
        </w:tc>
        <w:tc>
          <w:tcPr>
            <w:tcW w:w="851" w:type="dxa"/>
            <w:vMerge w:val="restart"/>
            <w:vAlign w:val="center"/>
          </w:tcPr>
          <w:p>
            <w:pPr>
              <w:jc w:val="center"/>
              <w:rPr>
                <w:rFonts w:ascii="宋体" w:hAnsi="宋体" w:eastAsia="宋体" w:cs="Times New Roman"/>
                <w:szCs w:val="21"/>
              </w:rPr>
            </w:pPr>
            <w:r>
              <w:rPr>
                <w:rFonts w:hint="eastAsia" w:ascii="宋体" w:hAnsi="宋体" w:eastAsia="宋体" w:cs="Times New Roman"/>
                <w:szCs w:val="21"/>
              </w:rPr>
              <w:t>考核</w:t>
            </w:r>
          </w:p>
          <w:p>
            <w:pPr>
              <w:jc w:val="center"/>
              <w:rPr>
                <w:rFonts w:ascii="宋体" w:hAnsi="宋体" w:eastAsia="宋体" w:cs="Times New Roman"/>
                <w:szCs w:val="21"/>
              </w:rPr>
            </w:pPr>
            <w:r>
              <w:rPr>
                <w:rFonts w:hint="eastAsia" w:ascii="宋体" w:hAnsi="宋体" w:eastAsia="宋体" w:cs="Times New Roman"/>
                <w:szCs w:val="21"/>
              </w:rPr>
              <w:t>方式</w:t>
            </w:r>
          </w:p>
        </w:tc>
        <w:tc>
          <w:tcPr>
            <w:tcW w:w="703" w:type="dxa"/>
            <w:vMerge w:val="restart"/>
            <w:vAlign w:val="center"/>
          </w:tcPr>
          <w:p>
            <w:pPr>
              <w:jc w:val="center"/>
              <w:rPr>
                <w:rFonts w:ascii="宋体" w:hAnsi="宋体" w:eastAsia="宋体" w:cs="Times New Roman"/>
                <w:szCs w:val="21"/>
              </w:rPr>
            </w:pPr>
            <w:r>
              <w:rPr>
                <w:rFonts w:hint="eastAsia" w:ascii="宋体" w:hAnsi="宋体"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559" w:type="dxa"/>
            <w:vMerge w:val="continue"/>
            <w:vAlign w:val="center"/>
          </w:tcPr>
          <w:p>
            <w:pPr>
              <w:tabs>
                <w:tab w:val="left" w:pos="4760"/>
              </w:tabs>
              <w:jc w:val="center"/>
              <w:rPr>
                <w:rFonts w:ascii="宋体" w:hAnsi="宋体" w:eastAsia="宋体" w:cs="Times New Roman"/>
                <w:szCs w:val="21"/>
              </w:rPr>
            </w:pPr>
          </w:p>
        </w:tc>
        <w:tc>
          <w:tcPr>
            <w:tcW w:w="1423" w:type="dxa"/>
            <w:vMerge w:val="continue"/>
            <w:vAlign w:val="center"/>
          </w:tcPr>
          <w:p>
            <w:pPr>
              <w:tabs>
                <w:tab w:val="left" w:pos="4760"/>
              </w:tabs>
              <w:jc w:val="center"/>
              <w:rPr>
                <w:rFonts w:ascii="宋体" w:hAnsi="宋体" w:eastAsia="宋体" w:cs="Times New Roman"/>
                <w:szCs w:val="21"/>
              </w:rPr>
            </w:pPr>
          </w:p>
        </w:tc>
        <w:tc>
          <w:tcPr>
            <w:tcW w:w="1843" w:type="dxa"/>
            <w:vMerge w:val="continue"/>
            <w:vAlign w:val="center"/>
          </w:tcPr>
          <w:p>
            <w:pPr>
              <w:tabs>
                <w:tab w:val="left" w:pos="4760"/>
              </w:tabs>
              <w:jc w:val="center"/>
              <w:rPr>
                <w:rFonts w:ascii="宋体" w:hAnsi="宋体" w:eastAsia="宋体" w:cs="Times New Roman"/>
                <w:szCs w:val="21"/>
              </w:rPr>
            </w:pPr>
          </w:p>
        </w:tc>
        <w:tc>
          <w:tcPr>
            <w:tcW w:w="992" w:type="dxa"/>
            <w:vAlign w:val="center"/>
          </w:tcPr>
          <w:p>
            <w:pPr>
              <w:jc w:val="center"/>
              <w:rPr>
                <w:rFonts w:ascii="宋体" w:hAnsi="宋体" w:eastAsia="宋体" w:cs="Times New Roman"/>
                <w:szCs w:val="21"/>
              </w:rPr>
            </w:pPr>
            <w:r>
              <w:rPr>
                <w:rFonts w:hint="eastAsia" w:ascii="宋体" w:hAnsi="宋体" w:eastAsia="宋体" w:cs="Times New Roman"/>
                <w:szCs w:val="21"/>
              </w:rPr>
              <w:t>总课</w:t>
            </w:r>
          </w:p>
          <w:p>
            <w:pPr>
              <w:jc w:val="center"/>
              <w:rPr>
                <w:rFonts w:ascii="宋体" w:hAnsi="宋体" w:eastAsia="宋体" w:cs="Times New Roman"/>
                <w:szCs w:val="21"/>
              </w:rPr>
            </w:pPr>
            <w:r>
              <w:rPr>
                <w:rFonts w:hint="eastAsia" w:ascii="宋体" w:hAnsi="宋体" w:eastAsia="宋体" w:cs="Times New Roman"/>
                <w:szCs w:val="21"/>
              </w:rPr>
              <w:t>时数</w:t>
            </w:r>
          </w:p>
        </w:tc>
        <w:tc>
          <w:tcPr>
            <w:tcW w:w="712" w:type="dxa"/>
            <w:vAlign w:val="center"/>
          </w:tcPr>
          <w:p>
            <w:pPr>
              <w:jc w:val="center"/>
              <w:rPr>
                <w:rFonts w:ascii="宋体" w:hAnsi="宋体" w:eastAsia="宋体" w:cs="Times New Roman"/>
                <w:szCs w:val="21"/>
              </w:rPr>
            </w:pPr>
            <w:r>
              <w:rPr>
                <w:rFonts w:ascii="宋体" w:hAnsi="宋体" w:eastAsia="宋体" w:cs="Times New Roman"/>
                <w:szCs w:val="21"/>
              </w:rPr>
              <w:t>理论</w:t>
            </w:r>
          </w:p>
          <w:p>
            <w:pPr>
              <w:jc w:val="center"/>
              <w:rPr>
                <w:rFonts w:ascii="宋体" w:hAnsi="宋体" w:eastAsia="宋体" w:cs="Times New Roman"/>
                <w:szCs w:val="21"/>
              </w:rPr>
            </w:pPr>
            <w:r>
              <w:rPr>
                <w:rFonts w:ascii="宋体" w:hAnsi="宋体" w:eastAsia="宋体" w:cs="Times New Roman"/>
                <w:szCs w:val="21"/>
              </w:rPr>
              <w:t>教学</w:t>
            </w:r>
          </w:p>
          <w:p>
            <w:pPr>
              <w:jc w:val="center"/>
              <w:rPr>
                <w:rFonts w:ascii="宋体" w:hAnsi="宋体" w:eastAsia="宋体" w:cs="Times New Roman"/>
                <w:szCs w:val="21"/>
              </w:rPr>
            </w:pPr>
            <w:r>
              <w:rPr>
                <w:rFonts w:ascii="宋体" w:hAnsi="宋体" w:eastAsia="宋体" w:cs="Times New Roman"/>
                <w:szCs w:val="21"/>
              </w:rPr>
              <w:t>（学时）</w:t>
            </w:r>
          </w:p>
        </w:tc>
        <w:tc>
          <w:tcPr>
            <w:tcW w:w="735" w:type="dxa"/>
            <w:vAlign w:val="center"/>
          </w:tcPr>
          <w:p>
            <w:pPr>
              <w:jc w:val="center"/>
              <w:rPr>
                <w:rFonts w:ascii="宋体" w:hAnsi="宋体" w:eastAsia="宋体" w:cs="Times New Roman"/>
                <w:szCs w:val="21"/>
              </w:rPr>
            </w:pPr>
            <w:r>
              <w:rPr>
                <w:rFonts w:ascii="宋体" w:hAnsi="宋体" w:eastAsia="宋体" w:cs="Times New Roman"/>
                <w:szCs w:val="21"/>
              </w:rPr>
              <w:t>课内</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w:t>
            </w:r>
          </w:p>
        </w:tc>
        <w:tc>
          <w:tcPr>
            <w:tcW w:w="963" w:type="dxa"/>
            <w:vAlign w:val="center"/>
          </w:tcPr>
          <w:p>
            <w:pPr>
              <w:jc w:val="center"/>
              <w:rPr>
                <w:rFonts w:ascii="宋体" w:hAnsi="宋体" w:eastAsia="宋体" w:cs="Times New Roman"/>
                <w:szCs w:val="21"/>
              </w:rPr>
            </w:pPr>
            <w:r>
              <w:rPr>
                <w:rFonts w:ascii="宋体" w:hAnsi="宋体" w:eastAsia="宋体" w:cs="Times New Roman"/>
                <w:szCs w:val="21"/>
              </w:rPr>
              <w:t>集中</w:t>
            </w:r>
          </w:p>
          <w:p>
            <w:pPr>
              <w:jc w:val="center"/>
              <w:rPr>
                <w:rFonts w:ascii="宋体" w:hAnsi="宋体" w:eastAsia="宋体" w:cs="Times New Roman"/>
                <w:szCs w:val="21"/>
              </w:rPr>
            </w:pPr>
            <w:r>
              <w:rPr>
                <w:rFonts w:ascii="宋体" w:hAnsi="宋体" w:eastAsia="宋体" w:cs="Times New Roman"/>
                <w:szCs w:val="21"/>
              </w:rPr>
              <w:t>实训</w:t>
            </w:r>
          </w:p>
          <w:p>
            <w:pPr>
              <w:jc w:val="center"/>
              <w:rPr>
                <w:rFonts w:ascii="宋体" w:hAnsi="宋体" w:eastAsia="宋体" w:cs="Times New Roman"/>
                <w:szCs w:val="21"/>
              </w:rPr>
            </w:pPr>
            <w:r>
              <w:rPr>
                <w:rFonts w:ascii="宋体" w:hAnsi="宋体" w:eastAsia="宋体" w:cs="Times New Roman"/>
                <w:szCs w:val="21"/>
              </w:rPr>
              <w:t>（学时/周）</w:t>
            </w:r>
          </w:p>
        </w:tc>
        <w:tc>
          <w:tcPr>
            <w:tcW w:w="708" w:type="dxa"/>
            <w:vMerge w:val="continue"/>
            <w:vAlign w:val="center"/>
          </w:tcPr>
          <w:p>
            <w:pPr>
              <w:jc w:val="center"/>
              <w:rPr>
                <w:rFonts w:ascii="宋体" w:hAnsi="宋体" w:eastAsia="宋体" w:cs="Times New Roman"/>
                <w:szCs w:val="21"/>
              </w:rPr>
            </w:pPr>
          </w:p>
        </w:tc>
        <w:tc>
          <w:tcPr>
            <w:tcW w:w="709" w:type="dxa"/>
            <w:vMerge w:val="continue"/>
            <w:vAlign w:val="center"/>
          </w:tcPr>
          <w:p>
            <w:pPr>
              <w:tabs>
                <w:tab w:val="left" w:pos="4760"/>
              </w:tabs>
              <w:jc w:val="center"/>
              <w:rPr>
                <w:rFonts w:ascii="宋体" w:hAnsi="宋体" w:eastAsia="宋体" w:cs="Times New Roman"/>
                <w:szCs w:val="21"/>
              </w:rPr>
            </w:pPr>
          </w:p>
        </w:tc>
        <w:tc>
          <w:tcPr>
            <w:tcW w:w="851" w:type="dxa"/>
            <w:vMerge w:val="continue"/>
            <w:vAlign w:val="center"/>
          </w:tcPr>
          <w:p>
            <w:pPr>
              <w:tabs>
                <w:tab w:val="left" w:pos="4760"/>
              </w:tabs>
              <w:jc w:val="center"/>
              <w:rPr>
                <w:rFonts w:ascii="宋体" w:hAnsi="宋体" w:eastAsia="宋体" w:cs="Times New Roman"/>
                <w:szCs w:val="21"/>
              </w:rPr>
            </w:pPr>
          </w:p>
        </w:tc>
        <w:tc>
          <w:tcPr>
            <w:tcW w:w="703" w:type="dxa"/>
            <w:vMerge w:val="continue"/>
            <w:vAlign w:val="center"/>
          </w:tcPr>
          <w:p>
            <w:pPr>
              <w:tabs>
                <w:tab w:val="left" w:pos="4760"/>
              </w:tabs>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884" w:hRule="atLeas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1</w:t>
            </w:r>
          </w:p>
        </w:tc>
        <w:tc>
          <w:tcPr>
            <w:tcW w:w="1423"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902</w:t>
            </w:r>
          </w:p>
        </w:tc>
        <w:tc>
          <w:tcPr>
            <w:tcW w:w="1843" w:type="dxa"/>
            <w:vAlign w:val="center"/>
          </w:tcPr>
          <w:p>
            <w:pPr>
              <w:jc w:val="center"/>
              <w:rPr>
                <w:rFonts w:ascii="宋体" w:hAnsi="宋体"/>
                <w:color w:val="000000" w:themeColor="text1"/>
                <w:sz w:val="20"/>
                <w:szCs w:val="20"/>
              </w:rPr>
            </w:pPr>
            <w:r>
              <w:rPr>
                <w:rFonts w:ascii="宋体" w:hAnsi="宋体"/>
                <w:color w:val="000000" w:themeColor="text1"/>
                <w:sz w:val="20"/>
                <w:szCs w:val="20"/>
              </w:rPr>
              <w:t>实习报告</w:t>
            </w:r>
          </w:p>
        </w:tc>
        <w:tc>
          <w:tcPr>
            <w:tcW w:w="992"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r>
              <w:rPr>
                <w:rFonts w:hint="eastAsia" w:ascii="宋体" w:hAnsi="宋体" w:cs="宋体"/>
                <w:color w:val="000000" w:themeColor="text1"/>
                <w:kern w:val="0"/>
                <w:sz w:val="20"/>
                <w:szCs w:val="20"/>
              </w:rPr>
              <w:t>68</w:t>
            </w:r>
          </w:p>
        </w:tc>
        <w:tc>
          <w:tcPr>
            <w:tcW w:w="712" w:type="dxa"/>
            <w:vAlign w:val="center"/>
          </w:tcPr>
          <w:p>
            <w:pPr>
              <w:widowControl/>
              <w:jc w:val="center"/>
              <w:textAlignment w:val="center"/>
              <w:rPr>
                <w:rFonts w:ascii="宋体" w:hAnsi="宋体" w:cs="宋体"/>
                <w:color w:val="000000" w:themeColor="text1"/>
                <w:kern w:val="0"/>
                <w:sz w:val="20"/>
                <w:szCs w:val="20"/>
              </w:rPr>
            </w:pPr>
          </w:p>
        </w:tc>
        <w:tc>
          <w:tcPr>
            <w:tcW w:w="735" w:type="dxa"/>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168</w:t>
            </w:r>
          </w:p>
        </w:tc>
        <w:tc>
          <w:tcPr>
            <w:tcW w:w="963" w:type="dxa"/>
            <w:vAlign w:val="center"/>
          </w:tcPr>
          <w:p>
            <w:pPr>
              <w:jc w:val="center"/>
              <w:rPr>
                <w:rFonts w:ascii="宋体" w:hAnsi="宋体"/>
                <w:color w:val="000000" w:themeColor="text1"/>
                <w:sz w:val="20"/>
                <w:szCs w:val="20"/>
              </w:rPr>
            </w:pPr>
          </w:p>
        </w:tc>
        <w:tc>
          <w:tcPr>
            <w:tcW w:w="708" w:type="dxa"/>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70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5</w:t>
            </w:r>
          </w:p>
        </w:tc>
        <w:tc>
          <w:tcPr>
            <w:tcW w:w="851" w:type="dxa"/>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703" w:type="dxa"/>
            <w:vAlign w:val="center"/>
          </w:tcPr>
          <w:p>
            <w:pPr>
              <w:widowControl/>
              <w:jc w:val="center"/>
              <w:rPr>
                <w:rFonts w:ascii="宋体" w:hAnsi="宋体"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559" w:type="dxa"/>
            <w:vAlign w:val="center"/>
          </w:tcPr>
          <w:p>
            <w:pPr>
              <w:shd w:val="clear" w:color="auto" w:fill="FFFFFF"/>
              <w:jc w:val="center"/>
              <w:rPr>
                <w:rFonts w:ascii="宋体" w:hAnsi="宋体" w:eastAsia="宋体" w:cs="Times New Roman"/>
                <w:szCs w:val="21"/>
              </w:rPr>
            </w:pPr>
            <w:r>
              <w:rPr>
                <w:rFonts w:hint="eastAsia" w:ascii="宋体" w:hAnsi="宋体" w:eastAsia="宋体" w:cs="Times New Roman"/>
                <w:szCs w:val="21"/>
              </w:rPr>
              <w:t>2</w:t>
            </w:r>
          </w:p>
        </w:tc>
        <w:tc>
          <w:tcPr>
            <w:tcW w:w="1423" w:type="dxa"/>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901</w:t>
            </w:r>
          </w:p>
        </w:tc>
        <w:tc>
          <w:tcPr>
            <w:tcW w:w="1843" w:type="dxa"/>
            <w:vAlign w:val="center"/>
          </w:tcPr>
          <w:p>
            <w:pPr>
              <w:jc w:val="center"/>
              <w:rPr>
                <w:rFonts w:ascii="宋体" w:hAnsi="宋体"/>
                <w:sz w:val="20"/>
                <w:szCs w:val="20"/>
              </w:rPr>
            </w:pPr>
            <w:r>
              <w:rPr>
                <w:rFonts w:ascii="宋体" w:hAnsi="宋体"/>
                <w:sz w:val="20"/>
                <w:szCs w:val="20"/>
              </w:rPr>
              <w:t>实习</w:t>
            </w:r>
          </w:p>
        </w:tc>
        <w:tc>
          <w:tcPr>
            <w:tcW w:w="992"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720</w:t>
            </w:r>
          </w:p>
        </w:tc>
        <w:tc>
          <w:tcPr>
            <w:tcW w:w="712" w:type="dxa"/>
            <w:vAlign w:val="center"/>
          </w:tcPr>
          <w:p>
            <w:pPr>
              <w:widowControl/>
              <w:jc w:val="center"/>
              <w:textAlignment w:val="center"/>
              <w:rPr>
                <w:rFonts w:ascii="宋体" w:hAnsi="宋体" w:cs="宋体"/>
                <w:kern w:val="0"/>
                <w:sz w:val="20"/>
                <w:szCs w:val="20"/>
              </w:rPr>
            </w:pPr>
          </w:p>
        </w:tc>
        <w:tc>
          <w:tcPr>
            <w:tcW w:w="735" w:type="dxa"/>
            <w:vAlign w:val="center"/>
          </w:tcPr>
          <w:p>
            <w:pPr>
              <w:widowControl/>
              <w:jc w:val="center"/>
              <w:textAlignment w:val="center"/>
              <w:rPr>
                <w:rFonts w:ascii="宋体" w:hAnsi="宋体"/>
                <w:sz w:val="20"/>
                <w:szCs w:val="20"/>
              </w:rPr>
            </w:pPr>
          </w:p>
        </w:tc>
        <w:tc>
          <w:tcPr>
            <w:tcW w:w="963" w:type="dxa"/>
            <w:vAlign w:val="center"/>
          </w:tcPr>
          <w:p>
            <w:pPr>
              <w:spacing w:line="240" w:lineRule="exact"/>
              <w:jc w:val="center"/>
              <w:rPr>
                <w:rFonts w:ascii="宋体" w:hAnsi="宋体"/>
                <w:sz w:val="20"/>
                <w:szCs w:val="20"/>
              </w:rPr>
            </w:pPr>
            <w:r>
              <w:rPr>
                <w:rFonts w:hint="eastAsia" w:ascii="宋体" w:hAnsi="宋体"/>
                <w:sz w:val="20"/>
                <w:szCs w:val="20"/>
              </w:rPr>
              <w:t>720</w:t>
            </w:r>
          </w:p>
        </w:tc>
        <w:tc>
          <w:tcPr>
            <w:tcW w:w="708" w:type="dxa"/>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w:t>
            </w:r>
          </w:p>
        </w:tc>
        <w:tc>
          <w:tcPr>
            <w:tcW w:w="709" w:type="dxa"/>
            <w:vAlign w:val="center"/>
          </w:tcPr>
          <w:p>
            <w:pPr>
              <w:jc w:val="center"/>
              <w:rPr>
                <w:rFonts w:ascii="宋体" w:hAnsi="宋体" w:eastAsia="宋体" w:cs="Times New Roman"/>
                <w:szCs w:val="21"/>
              </w:rPr>
            </w:pPr>
            <w:r>
              <w:rPr>
                <w:rFonts w:hint="eastAsia" w:ascii="宋体" w:hAnsi="宋体" w:eastAsia="宋体" w:cs="Times New Roman"/>
                <w:szCs w:val="21"/>
              </w:rPr>
              <w:t>6</w:t>
            </w:r>
          </w:p>
        </w:tc>
        <w:tc>
          <w:tcPr>
            <w:tcW w:w="851" w:type="dxa"/>
            <w:vAlign w:val="center"/>
          </w:tcPr>
          <w:p>
            <w:pPr>
              <w:widowControl/>
              <w:jc w:val="center"/>
              <w:textAlignment w:val="center"/>
              <w:rPr>
                <w:rFonts w:ascii="宋体" w:hAnsi="宋体"/>
                <w:sz w:val="20"/>
                <w:szCs w:val="20"/>
              </w:rPr>
            </w:pPr>
            <w:r>
              <w:rPr>
                <w:rFonts w:ascii="宋体" w:hAnsi="宋体"/>
                <w:sz w:val="20"/>
                <w:szCs w:val="20"/>
              </w:rPr>
              <w:t>考查</w:t>
            </w:r>
          </w:p>
        </w:tc>
        <w:tc>
          <w:tcPr>
            <w:tcW w:w="703" w:type="dxa"/>
            <w:vAlign w:val="center"/>
          </w:tcPr>
          <w:p>
            <w:pPr>
              <w:jc w:val="center"/>
              <w:rPr>
                <w:rFonts w:ascii="宋体" w:hAnsi="宋体"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09" w:hRule="atLeast"/>
          <w:jc w:val="center"/>
        </w:trPr>
        <w:tc>
          <w:tcPr>
            <w:tcW w:w="3825" w:type="dxa"/>
            <w:gridSpan w:val="3"/>
            <w:vAlign w:val="center"/>
          </w:tcPr>
          <w:p>
            <w:pPr>
              <w:shd w:val="clear" w:color="auto" w:fill="FFFFFF"/>
              <w:ind w:firstLine="105" w:firstLineChars="50"/>
              <w:jc w:val="center"/>
              <w:rPr>
                <w:rFonts w:ascii="宋体" w:hAnsi="宋体" w:eastAsia="宋体" w:cs="Times New Roman"/>
                <w:bCs/>
                <w:szCs w:val="21"/>
              </w:rPr>
            </w:pPr>
            <w:r>
              <w:rPr>
                <w:rFonts w:hint="eastAsia" w:ascii="宋体" w:hAnsi="宋体" w:eastAsia="宋体" w:cs="Times New Roman"/>
                <w:bCs/>
                <w:szCs w:val="21"/>
              </w:rPr>
              <w:t>合计</w:t>
            </w:r>
          </w:p>
        </w:tc>
        <w:tc>
          <w:tcPr>
            <w:tcW w:w="992" w:type="dxa"/>
            <w:vAlign w:val="center"/>
          </w:tcPr>
          <w:p>
            <w:pPr>
              <w:jc w:val="center"/>
              <w:rPr>
                <w:rFonts w:ascii="宋体" w:hAnsi="宋体" w:eastAsia="宋体" w:cs="宋体"/>
                <w:szCs w:val="21"/>
              </w:rPr>
            </w:pPr>
            <w:r>
              <w:rPr>
                <w:rFonts w:hint="eastAsia" w:ascii="宋体" w:hAnsi="宋体" w:eastAsia="宋体" w:cs="宋体"/>
                <w:szCs w:val="21"/>
              </w:rPr>
              <w:t>888</w:t>
            </w:r>
          </w:p>
        </w:tc>
        <w:tc>
          <w:tcPr>
            <w:tcW w:w="712" w:type="dxa"/>
            <w:vAlign w:val="center"/>
          </w:tcPr>
          <w:p>
            <w:pPr>
              <w:jc w:val="center"/>
              <w:rPr>
                <w:rFonts w:ascii="宋体" w:hAnsi="宋体" w:eastAsia="宋体" w:cs="宋体"/>
                <w:szCs w:val="21"/>
              </w:rPr>
            </w:pPr>
          </w:p>
        </w:tc>
        <w:tc>
          <w:tcPr>
            <w:tcW w:w="1698" w:type="dxa"/>
            <w:gridSpan w:val="2"/>
            <w:vAlign w:val="center"/>
          </w:tcPr>
          <w:p>
            <w:pPr>
              <w:jc w:val="center"/>
              <w:rPr>
                <w:rFonts w:ascii="宋体" w:hAnsi="宋体" w:eastAsia="宋体" w:cs="宋体"/>
                <w:szCs w:val="21"/>
              </w:rPr>
            </w:pPr>
            <w:r>
              <w:rPr>
                <w:rFonts w:hint="eastAsia" w:ascii="宋体" w:hAnsi="宋体" w:eastAsia="宋体" w:cs="宋体"/>
                <w:szCs w:val="21"/>
              </w:rPr>
              <w:t>888</w:t>
            </w:r>
          </w:p>
        </w:tc>
        <w:tc>
          <w:tcPr>
            <w:tcW w:w="708" w:type="dxa"/>
            <w:vAlign w:val="center"/>
          </w:tcPr>
          <w:p>
            <w:pPr>
              <w:jc w:val="center"/>
              <w:rPr>
                <w:rFonts w:ascii="宋体" w:hAnsi="宋体" w:eastAsia="宋体" w:cs="宋体"/>
                <w:szCs w:val="21"/>
              </w:rPr>
            </w:pPr>
            <w:r>
              <w:rPr>
                <w:rFonts w:hint="eastAsia" w:ascii="宋体" w:hAnsi="宋体" w:eastAsia="宋体" w:cs="宋体"/>
                <w:szCs w:val="21"/>
              </w:rPr>
              <w:t>11</w:t>
            </w:r>
          </w:p>
        </w:tc>
        <w:tc>
          <w:tcPr>
            <w:tcW w:w="709" w:type="dxa"/>
            <w:vAlign w:val="center"/>
          </w:tcPr>
          <w:p>
            <w:pPr>
              <w:shd w:val="clear" w:color="auto" w:fill="FFFFFF"/>
              <w:jc w:val="center"/>
              <w:rPr>
                <w:rFonts w:ascii="宋体" w:hAnsi="宋体" w:eastAsia="宋体" w:cs="Times New Roman"/>
                <w:szCs w:val="21"/>
              </w:rPr>
            </w:pPr>
          </w:p>
        </w:tc>
        <w:tc>
          <w:tcPr>
            <w:tcW w:w="851" w:type="dxa"/>
            <w:vAlign w:val="center"/>
          </w:tcPr>
          <w:p>
            <w:pPr>
              <w:shd w:val="clear" w:color="auto" w:fill="FFFFFF"/>
              <w:jc w:val="center"/>
              <w:rPr>
                <w:rFonts w:ascii="宋体" w:hAnsi="宋体" w:eastAsia="宋体" w:cs="Times New Roman"/>
                <w:szCs w:val="21"/>
              </w:rPr>
            </w:pPr>
          </w:p>
        </w:tc>
        <w:tc>
          <w:tcPr>
            <w:tcW w:w="703" w:type="dxa"/>
            <w:vAlign w:val="center"/>
          </w:tcPr>
          <w:p>
            <w:pPr>
              <w:widowControl/>
              <w:jc w:val="center"/>
              <w:rPr>
                <w:rFonts w:ascii="宋体" w:hAnsi="宋体" w:eastAsia="宋体" w:cs="Times New Roman"/>
                <w:kern w:val="0"/>
                <w:szCs w:val="21"/>
              </w:rPr>
            </w:pPr>
          </w:p>
        </w:tc>
      </w:tr>
    </w:tbl>
    <w:p>
      <w:pPr>
        <w:spacing w:line="360" w:lineRule="auto"/>
        <w:ind w:firstLine="480" w:firstLineChars="200"/>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七、教学进程总体安排</w:t>
      </w:r>
    </w:p>
    <w:p>
      <w:pPr>
        <w:spacing w:line="360" w:lineRule="auto"/>
        <w:ind w:firstLine="480" w:firstLineChars="200"/>
        <w:rPr>
          <w:rFonts w:ascii="仿宋_GB2312" w:hAnsi="Times New Roman" w:eastAsia="仿宋_GB2312" w:cs="Times New Roman"/>
          <w:bCs/>
          <w:color w:val="FF0000"/>
          <w:sz w:val="24"/>
          <w:szCs w:val="24"/>
        </w:rPr>
      </w:pPr>
    </w:p>
    <w:p>
      <w:pPr>
        <w:spacing w:line="360" w:lineRule="auto"/>
        <w:ind w:firstLine="480"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（一）教学进程安排表</w:t>
      </w:r>
    </w:p>
    <w:p>
      <w:pPr>
        <w:spacing w:line="360" w:lineRule="auto"/>
        <w:ind w:firstLine="480" w:firstLineChars="200"/>
        <w:jc w:val="center"/>
        <w:rPr>
          <w:rFonts w:ascii="仿宋_GB2312" w:hAnsi="Times New Roman" w:eastAsia="仿宋_GB2312" w:cs="Times New Roman"/>
          <w:b/>
          <w:sz w:val="24"/>
          <w:szCs w:val="24"/>
        </w:rPr>
        <w:sectPr>
          <w:headerReference r:id="rId4" w:type="first"/>
          <w:headerReference r:id="rId3" w:type="default"/>
          <w:footerReference r:id="rId5" w:type="default"/>
          <w:pgSz w:w="11906" w:h="16838"/>
          <w:pgMar w:top="1418" w:right="1418" w:bottom="1418" w:left="1418" w:header="851" w:footer="992" w:gutter="0"/>
          <w:pgNumType w:start="0"/>
          <w:cols w:space="720" w:num="1"/>
          <w:titlePg/>
          <w:docGrid w:type="linesAndChars" w:linePitch="312" w:charSpace="0"/>
        </w:sectPr>
      </w:pPr>
    </w:p>
    <w:tbl>
      <w:tblPr>
        <w:tblStyle w:val="26"/>
        <w:tblW w:w="1559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524"/>
        <w:gridCol w:w="529"/>
        <w:gridCol w:w="556"/>
        <w:gridCol w:w="2506"/>
        <w:gridCol w:w="1645"/>
        <w:gridCol w:w="425"/>
        <w:gridCol w:w="567"/>
        <w:gridCol w:w="567"/>
        <w:gridCol w:w="992"/>
        <w:gridCol w:w="851"/>
        <w:gridCol w:w="992"/>
        <w:gridCol w:w="567"/>
        <w:gridCol w:w="850"/>
        <w:gridCol w:w="851"/>
        <w:gridCol w:w="850"/>
        <w:gridCol w:w="851"/>
        <w:gridCol w:w="709"/>
        <w:gridCol w:w="76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1" w:hRule="atLeast"/>
          <w:jc w:val="center"/>
        </w:trPr>
        <w:tc>
          <w:tcPr>
            <w:tcW w:w="1053" w:type="dxa"/>
            <w:gridSpan w:val="2"/>
            <w:vMerge w:val="restart"/>
            <w:tcBorders>
              <w:top w:val="single" w:color="auto" w:sz="12" w:space="0"/>
              <w:left w:val="single" w:color="auto" w:sz="12" w:space="0"/>
              <w:bottom w:val="single" w:color="auto" w:sz="6" w:space="0"/>
              <w:right w:val="single" w:color="auto" w:sz="6" w:space="0"/>
            </w:tcBorders>
            <w:vAlign w:val="center"/>
          </w:tcPr>
          <w:p>
            <w:pPr>
              <w:jc w:val="center"/>
              <w:rPr>
                <w:b/>
                <w:sz w:val="18"/>
                <w:szCs w:val="18"/>
              </w:rPr>
            </w:pPr>
            <w:r>
              <w:rPr>
                <w:rFonts w:hint="eastAsia"/>
                <w:b/>
                <w:sz w:val="18"/>
                <w:szCs w:val="18"/>
              </w:rPr>
              <w:t>课程类别</w:t>
            </w:r>
          </w:p>
        </w:tc>
        <w:tc>
          <w:tcPr>
            <w:tcW w:w="55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序号</w:t>
            </w:r>
          </w:p>
        </w:tc>
        <w:tc>
          <w:tcPr>
            <w:tcW w:w="2506"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课程名称</w:t>
            </w:r>
          </w:p>
        </w:tc>
        <w:tc>
          <w:tcPr>
            <w:tcW w:w="1645"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代码</w:t>
            </w:r>
          </w:p>
        </w:tc>
        <w:tc>
          <w:tcPr>
            <w:tcW w:w="425" w:type="dxa"/>
            <w:vMerge w:val="restart"/>
            <w:tcBorders>
              <w:top w:val="single" w:color="auto" w:sz="12" w:space="0"/>
              <w:left w:val="single" w:color="auto" w:sz="6" w:space="0"/>
              <w:right w:val="single" w:color="auto" w:sz="6" w:space="0"/>
            </w:tcBorders>
            <w:vAlign w:val="center"/>
          </w:tcPr>
          <w:p>
            <w:pPr>
              <w:jc w:val="center"/>
              <w:rPr>
                <w:b/>
                <w:sz w:val="18"/>
                <w:szCs w:val="18"/>
              </w:rPr>
            </w:pPr>
            <w:r>
              <w:rPr>
                <w:b/>
                <w:sz w:val="18"/>
                <w:szCs w:val="18"/>
              </w:rPr>
              <w:t>核心课程</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学分</w:t>
            </w:r>
          </w:p>
        </w:tc>
        <w:tc>
          <w:tcPr>
            <w:tcW w:w="567"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课程</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理论</w:t>
            </w:r>
          </w:p>
          <w:p>
            <w:pPr>
              <w:jc w:val="center"/>
              <w:rPr>
                <w:b/>
                <w:sz w:val="18"/>
                <w:szCs w:val="18"/>
              </w:rPr>
            </w:pPr>
            <w:r>
              <w:rPr>
                <w:b/>
                <w:sz w:val="18"/>
                <w:szCs w:val="18"/>
              </w:rPr>
              <w:t>教学</w:t>
            </w:r>
          </w:p>
          <w:p>
            <w:pPr>
              <w:jc w:val="center"/>
              <w:rPr>
                <w:b/>
                <w:sz w:val="18"/>
                <w:szCs w:val="18"/>
              </w:rPr>
            </w:pPr>
            <w:r>
              <w:rPr>
                <w:b/>
                <w:sz w:val="18"/>
                <w:szCs w:val="18"/>
              </w:rPr>
              <w:t>（学时）</w:t>
            </w:r>
          </w:p>
        </w:tc>
        <w:tc>
          <w:tcPr>
            <w:tcW w:w="851" w:type="dxa"/>
            <w:vMerge w:val="restart"/>
            <w:tcBorders>
              <w:top w:val="single" w:color="auto" w:sz="12" w:space="0"/>
              <w:left w:val="single" w:color="auto" w:sz="6" w:space="0"/>
              <w:bottom w:val="single" w:color="auto" w:sz="6" w:space="0"/>
              <w:right w:val="single" w:color="auto" w:sz="6" w:space="0"/>
            </w:tcBorders>
            <w:vAlign w:val="center"/>
          </w:tcPr>
          <w:p>
            <w:pPr>
              <w:jc w:val="center"/>
              <w:rPr>
                <w:b/>
                <w:sz w:val="18"/>
                <w:szCs w:val="18"/>
              </w:rPr>
            </w:pPr>
            <w:r>
              <w:rPr>
                <w:b/>
                <w:sz w:val="18"/>
                <w:szCs w:val="18"/>
              </w:rPr>
              <w:t>课内</w:t>
            </w:r>
          </w:p>
          <w:p>
            <w:pPr>
              <w:jc w:val="center"/>
              <w:rPr>
                <w:b/>
                <w:sz w:val="18"/>
                <w:szCs w:val="18"/>
              </w:rPr>
            </w:pPr>
            <w:r>
              <w:rPr>
                <w:b/>
                <w:sz w:val="18"/>
                <w:szCs w:val="18"/>
              </w:rPr>
              <w:t>实训</w:t>
            </w:r>
          </w:p>
          <w:p>
            <w:pPr>
              <w:jc w:val="center"/>
              <w:rPr>
                <w:b/>
                <w:sz w:val="18"/>
                <w:szCs w:val="18"/>
              </w:rPr>
            </w:pPr>
            <w:r>
              <w:rPr>
                <w:b/>
                <w:sz w:val="18"/>
                <w:szCs w:val="18"/>
              </w:rPr>
              <w:t>（学时）</w:t>
            </w:r>
          </w:p>
        </w:tc>
        <w:tc>
          <w:tcPr>
            <w:tcW w:w="992" w:type="dxa"/>
            <w:vMerge w:val="restart"/>
            <w:tcBorders>
              <w:top w:val="single" w:color="auto" w:sz="12" w:space="0"/>
              <w:left w:val="single" w:color="auto" w:sz="6" w:space="0"/>
              <w:bottom w:val="single" w:color="auto" w:sz="6" w:space="0"/>
              <w:right w:val="single" w:color="auto" w:sz="4" w:space="0"/>
            </w:tcBorders>
            <w:vAlign w:val="center"/>
          </w:tcPr>
          <w:p>
            <w:pPr>
              <w:jc w:val="center"/>
              <w:rPr>
                <w:b/>
                <w:sz w:val="18"/>
                <w:szCs w:val="18"/>
              </w:rPr>
            </w:pPr>
            <w:r>
              <w:rPr>
                <w:b/>
                <w:sz w:val="18"/>
                <w:szCs w:val="18"/>
              </w:rPr>
              <w:t>集中</w:t>
            </w:r>
          </w:p>
          <w:p>
            <w:pPr>
              <w:jc w:val="center"/>
              <w:rPr>
                <w:b/>
                <w:sz w:val="18"/>
                <w:szCs w:val="18"/>
              </w:rPr>
            </w:pPr>
            <w:r>
              <w:rPr>
                <w:b/>
                <w:sz w:val="18"/>
                <w:szCs w:val="18"/>
              </w:rPr>
              <w:t>实训</w:t>
            </w:r>
          </w:p>
          <w:p>
            <w:pPr>
              <w:jc w:val="center"/>
              <w:rPr>
                <w:b/>
                <w:sz w:val="18"/>
                <w:szCs w:val="18"/>
              </w:rPr>
            </w:pPr>
            <w:r>
              <w:rPr>
                <w:b/>
                <w:sz w:val="18"/>
                <w:szCs w:val="18"/>
              </w:rPr>
              <w:t>（学时/周）</w:t>
            </w:r>
          </w:p>
        </w:tc>
        <w:tc>
          <w:tcPr>
            <w:tcW w:w="567" w:type="dxa"/>
            <w:vMerge w:val="restart"/>
            <w:tcBorders>
              <w:top w:val="single" w:color="auto" w:sz="12" w:space="0"/>
              <w:left w:val="single" w:color="auto" w:sz="4" w:space="0"/>
              <w:bottom w:val="single" w:color="auto" w:sz="6" w:space="0"/>
              <w:right w:val="single" w:color="auto" w:sz="6" w:space="0"/>
            </w:tcBorders>
            <w:vAlign w:val="center"/>
          </w:tcPr>
          <w:p>
            <w:pPr>
              <w:jc w:val="center"/>
              <w:rPr>
                <w:b/>
                <w:sz w:val="18"/>
                <w:szCs w:val="18"/>
              </w:rPr>
            </w:pPr>
            <w:r>
              <w:rPr>
                <w:b/>
                <w:sz w:val="18"/>
                <w:szCs w:val="18"/>
              </w:rPr>
              <w:t>考试</w:t>
            </w:r>
          </w:p>
          <w:p>
            <w:pPr>
              <w:jc w:val="center"/>
              <w:rPr>
                <w:b/>
                <w:sz w:val="18"/>
                <w:szCs w:val="18"/>
              </w:rPr>
            </w:pPr>
            <w:r>
              <w:rPr>
                <w:b/>
                <w:sz w:val="18"/>
                <w:szCs w:val="18"/>
              </w:rPr>
              <w:t>（查）</w:t>
            </w:r>
          </w:p>
        </w:tc>
        <w:tc>
          <w:tcPr>
            <w:tcW w:w="4876" w:type="dxa"/>
            <w:gridSpan w:val="6"/>
            <w:tcBorders>
              <w:top w:val="single" w:color="auto" w:sz="12" w:space="0"/>
              <w:left w:val="single" w:color="auto" w:sz="6" w:space="0"/>
              <w:bottom w:val="single" w:color="auto" w:sz="6" w:space="0"/>
              <w:right w:val="single" w:color="auto" w:sz="12" w:space="0"/>
            </w:tcBorders>
            <w:vAlign w:val="center"/>
          </w:tcPr>
          <w:p>
            <w:pPr>
              <w:jc w:val="center"/>
              <w:rPr>
                <w:b/>
                <w:sz w:val="18"/>
                <w:szCs w:val="18"/>
              </w:rPr>
            </w:pPr>
            <w:r>
              <w:rPr>
                <w:b/>
                <w:sz w:val="18"/>
                <w:szCs w:val="18"/>
              </w:rPr>
              <w:t>各学期教学周数及周学时分配（周学时*周数）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1" w:hRule="exac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一</w:t>
            </w:r>
          </w:p>
        </w:tc>
        <w:tc>
          <w:tcPr>
            <w:tcW w:w="1701" w:type="dxa"/>
            <w:gridSpan w:val="2"/>
            <w:tcBorders>
              <w:top w:val="single" w:color="auto" w:sz="6" w:space="0"/>
              <w:left w:val="single" w:color="auto" w:sz="6" w:space="0"/>
              <w:bottom w:val="single" w:color="auto" w:sz="6" w:space="0"/>
              <w:right w:val="single" w:color="auto" w:sz="6" w:space="0"/>
            </w:tcBorders>
            <w:vAlign w:val="center"/>
          </w:tcPr>
          <w:p>
            <w:pPr>
              <w:jc w:val="center"/>
              <w:rPr>
                <w:b/>
                <w:sz w:val="18"/>
                <w:szCs w:val="18"/>
              </w:rPr>
            </w:pPr>
            <w:r>
              <w:rPr>
                <w:b/>
                <w:sz w:val="18"/>
                <w:szCs w:val="18"/>
              </w:rPr>
              <w:t>二</w:t>
            </w:r>
          </w:p>
        </w:tc>
        <w:tc>
          <w:tcPr>
            <w:tcW w:w="1474" w:type="dxa"/>
            <w:gridSpan w:val="2"/>
            <w:tcBorders>
              <w:top w:val="single" w:color="auto" w:sz="6" w:space="0"/>
              <w:left w:val="single" w:color="auto" w:sz="6" w:space="0"/>
              <w:bottom w:val="single" w:color="auto" w:sz="6" w:space="0"/>
              <w:right w:val="single" w:color="auto" w:sz="12" w:space="0"/>
            </w:tcBorders>
            <w:vAlign w:val="center"/>
          </w:tcPr>
          <w:p>
            <w:pPr>
              <w:jc w:val="center"/>
              <w:rPr>
                <w:b/>
                <w:sz w:val="18"/>
                <w:szCs w:val="18"/>
              </w:rPr>
            </w:pPr>
            <w:r>
              <w:rPr>
                <w:b/>
                <w:sz w:val="18"/>
                <w:szCs w:val="18"/>
              </w:rPr>
              <w:t>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1053" w:type="dxa"/>
            <w:gridSpan w:val="2"/>
            <w:vMerge w:val="continue"/>
            <w:tcBorders>
              <w:top w:val="single" w:color="auto" w:sz="12" w:space="0"/>
              <w:left w:val="single" w:color="auto" w:sz="12" w:space="0"/>
              <w:bottom w:val="single" w:color="auto" w:sz="6" w:space="0"/>
              <w:right w:val="single" w:color="auto" w:sz="6" w:space="0"/>
            </w:tcBorders>
            <w:vAlign w:val="center"/>
          </w:tcPr>
          <w:p>
            <w:pPr>
              <w:widowControl/>
              <w:jc w:val="left"/>
              <w:rPr>
                <w:b/>
                <w:sz w:val="18"/>
                <w:szCs w:val="18"/>
              </w:rPr>
            </w:pPr>
          </w:p>
        </w:tc>
        <w:tc>
          <w:tcPr>
            <w:tcW w:w="55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2506"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1645"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425" w:type="dxa"/>
            <w:vMerge w:val="continue"/>
            <w:tcBorders>
              <w:left w:val="single" w:color="auto" w:sz="6" w:space="0"/>
              <w:bottom w:val="single" w:color="auto" w:sz="6" w:space="0"/>
              <w:right w:val="single" w:color="auto" w:sz="6" w:space="0"/>
            </w:tcBorders>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567"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851" w:type="dxa"/>
            <w:vMerge w:val="continue"/>
            <w:tcBorders>
              <w:top w:val="single" w:color="auto" w:sz="12" w:space="0"/>
              <w:left w:val="single" w:color="auto" w:sz="6" w:space="0"/>
              <w:bottom w:val="single" w:color="auto" w:sz="6" w:space="0"/>
              <w:right w:val="single" w:color="auto" w:sz="6" w:space="0"/>
            </w:tcBorders>
            <w:vAlign w:val="center"/>
          </w:tcPr>
          <w:p>
            <w:pPr>
              <w:widowControl/>
              <w:jc w:val="left"/>
              <w:rPr>
                <w:b/>
                <w:sz w:val="18"/>
                <w:szCs w:val="18"/>
              </w:rPr>
            </w:pPr>
          </w:p>
        </w:tc>
        <w:tc>
          <w:tcPr>
            <w:tcW w:w="992" w:type="dxa"/>
            <w:vMerge w:val="continue"/>
            <w:tcBorders>
              <w:top w:val="single" w:color="auto" w:sz="12" w:space="0"/>
              <w:left w:val="single" w:color="auto" w:sz="6" w:space="0"/>
              <w:bottom w:val="single" w:color="auto" w:sz="6" w:space="0"/>
              <w:right w:val="single" w:color="auto" w:sz="4" w:space="0"/>
            </w:tcBorders>
            <w:vAlign w:val="center"/>
          </w:tcPr>
          <w:p>
            <w:pPr>
              <w:widowControl/>
              <w:jc w:val="left"/>
              <w:rPr>
                <w:b/>
                <w:sz w:val="18"/>
                <w:szCs w:val="18"/>
              </w:rPr>
            </w:pPr>
          </w:p>
        </w:tc>
        <w:tc>
          <w:tcPr>
            <w:tcW w:w="567" w:type="dxa"/>
            <w:vMerge w:val="continue"/>
            <w:tcBorders>
              <w:top w:val="single" w:color="auto" w:sz="12" w:space="0"/>
              <w:left w:val="single" w:color="auto" w:sz="4" w:space="0"/>
              <w:bottom w:val="single" w:color="auto" w:sz="6" w:space="0"/>
              <w:right w:val="single" w:color="auto" w:sz="6" w:space="0"/>
            </w:tcBorders>
            <w:vAlign w:val="center"/>
          </w:tcPr>
          <w:p>
            <w:pPr>
              <w:widowControl/>
              <w:jc w:val="left"/>
              <w:rPr>
                <w:b/>
                <w:sz w:val="18"/>
                <w:szCs w:val="18"/>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19</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b/>
                <w:szCs w:val="21"/>
              </w:rPr>
            </w:pPr>
            <w:r>
              <w:rPr>
                <w:b/>
                <w:szCs w:val="21"/>
              </w:rPr>
              <w:t>20</w:t>
            </w:r>
          </w:p>
        </w:tc>
        <w:tc>
          <w:tcPr>
            <w:tcW w:w="765" w:type="dxa"/>
            <w:tcBorders>
              <w:top w:val="single" w:color="auto" w:sz="6" w:space="0"/>
              <w:left w:val="single" w:color="auto" w:sz="6" w:space="0"/>
              <w:bottom w:val="single" w:color="auto" w:sz="6" w:space="0"/>
              <w:right w:val="single" w:color="auto" w:sz="12" w:space="0"/>
            </w:tcBorders>
            <w:vAlign w:val="center"/>
          </w:tcPr>
          <w:p>
            <w:pPr>
              <w:jc w:val="center"/>
              <w:rPr>
                <w:b/>
                <w:szCs w:val="21"/>
              </w:rPr>
            </w:pPr>
            <w:r>
              <w:rPr>
                <w:b/>
                <w:szCs w:val="21"/>
              </w:rPr>
              <w:t>19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94" w:hRule="exact"/>
          <w:jc w:val="center"/>
        </w:trPr>
        <w:tc>
          <w:tcPr>
            <w:tcW w:w="524" w:type="dxa"/>
            <w:vMerge w:val="restart"/>
            <w:tcBorders>
              <w:top w:val="single" w:color="auto" w:sz="6" w:space="0"/>
              <w:left w:val="single" w:color="auto" w:sz="12" w:space="0"/>
              <w:right w:val="single" w:color="auto" w:sz="6" w:space="0"/>
            </w:tcBorders>
            <w:textDirection w:val="tbRlV"/>
            <w:vAlign w:val="center"/>
          </w:tcPr>
          <w:p>
            <w:pPr>
              <w:jc w:val="center"/>
              <w:rPr>
                <w:rFonts w:ascii="宋体" w:hAnsi="宋体"/>
                <w:sz w:val="20"/>
                <w:szCs w:val="20"/>
              </w:rPr>
            </w:pPr>
            <w:r>
              <w:rPr>
                <w:rFonts w:hint="eastAsia" w:ascii="宋体" w:hAnsi="宋体" w:eastAsia="宋体" w:cs="宋体"/>
                <w:color w:val="000000"/>
                <w:kern w:val="0"/>
                <w:sz w:val="22"/>
              </w:rPr>
              <w:t>公共基础课程</w:t>
            </w:r>
          </w:p>
        </w:tc>
        <w:tc>
          <w:tcPr>
            <w:tcW w:w="529" w:type="dxa"/>
            <w:vMerge w:val="restart"/>
            <w:tcBorders>
              <w:top w:val="single" w:color="auto" w:sz="6" w:space="0"/>
              <w:left w:val="single" w:color="auto" w:sz="6" w:space="0"/>
              <w:right w:val="single" w:color="auto" w:sz="6" w:space="0"/>
            </w:tcBorders>
            <w:textDirection w:val="tbRlV"/>
            <w:vAlign w:val="center"/>
          </w:tcPr>
          <w:p>
            <w:pPr>
              <w:spacing w:line="360" w:lineRule="auto"/>
              <w:ind w:left="113" w:right="113"/>
              <w:jc w:val="center"/>
              <w:rPr>
                <w:rFonts w:ascii="宋体" w:hAnsi="宋体"/>
                <w:sz w:val="20"/>
                <w:szCs w:val="20"/>
              </w:rPr>
            </w:pPr>
            <w:r>
              <w:rPr>
                <w:rFonts w:ascii="宋体" w:hAnsi="宋体"/>
                <w:sz w:val="20"/>
                <w:szCs w:val="20"/>
              </w:rPr>
              <w:t>必修课程</w:t>
            </w: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军事技能</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112</w:t>
            </w:r>
          </w:p>
        </w:tc>
        <w:tc>
          <w:tcPr>
            <w:tcW w:w="425" w:type="dxa"/>
            <w:tcBorders>
              <w:top w:val="single" w:color="auto" w:sz="6" w:space="0"/>
              <w:left w:val="single" w:color="auto" w:sz="6" w:space="0"/>
              <w:bottom w:val="single" w:color="auto" w:sz="6" w:space="0"/>
              <w:right w:val="single" w:color="auto" w:sz="6" w:space="0"/>
            </w:tcBorders>
          </w:tcPr>
          <w:p>
            <w:pPr>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112</w:t>
            </w:r>
          </w:p>
        </w:tc>
        <w:tc>
          <w:tcPr>
            <w:tcW w:w="992"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992"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112</w:t>
            </w: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&gt;112(14天）</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军事理论课1/2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113/114</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1*18</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美育课程</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大学生心理健康</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106</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职业生涯与规划</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108</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highlight w:val="yellow"/>
              </w:rPr>
            </w:pPr>
            <w:r>
              <w:rPr>
                <w:rFonts w:hint="eastAsia" w:ascii="宋体" w:hAnsi="宋体"/>
                <w:color w:val="000000" w:themeColor="text1"/>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思想道德修养1/2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105/205</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2*12</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color w:val="000000" w:themeColor="text1"/>
                <w:sz w:val="22"/>
              </w:rPr>
              <w:t>2*12</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92"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计算机基础1/2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301/302</w:t>
            </w: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1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sz w:val="20"/>
                <w:szCs w:val="20"/>
              </w:rPr>
              <w:t>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等级英语A/B/C/B级英语</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ENG 141/142/144/134</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highlight w:val="yellow"/>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0"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大学体育1/2/3</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 xml:space="preserve">GRD 201/202/203 </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96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78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highlight w:val="yellow"/>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highlight w:val="yellow"/>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7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财经应用文写作</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107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11</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创新创业教育</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117</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2</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26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9"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12</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毛泽东思想概论1/2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306/401</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4</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56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8</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2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13</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形势与政策1/2</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GRD 307/402</w:t>
            </w:r>
          </w:p>
        </w:tc>
        <w:tc>
          <w:tcPr>
            <w:tcW w:w="425" w:type="dxa"/>
            <w:tcBorders>
              <w:top w:val="single" w:color="auto" w:sz="6" w:space="0"/>
              <w:left w:val="single" w:color="auto" w:sz="6" w:space="0"/>
              <w:bottom w:val="single" w:color="auto" w:sz="6"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color w:val="000000" w:themeColor="text1"/>
                <w:sz w:val="22"/>
              </w:rPr>
            </w:pPr>
            <w:r>
              <w:rPr>
                <w:rFonts w:hint="eastAsia"/>
                <w:color w:val="000000" w:themeColor="text1"/>
                <w:sz w:val="22"/>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16</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6" w:space="0"/>
              <w:left w:val="single" w:color="auto" w:sz="6" w:space="0"/>
              <w:bottom w:val="single" w:color="auto" w:sz="4" w:space="0"/>
              <w:right w:val="single" w:color="auto" w:sz="4" w:space="0"/>
            </w:tcBorders>
            <w:vAlign w:val="center"/>
          </w:tcPr>
          <w:p>
            <w:pPr>
              <w:rPr>
                <w:rFonts w:ascii="宋体" w:hAnsi="宋体" w:eastAsia="宋体" w:cs="宋体"/>
                <w:color w:val="000000" w:themeColor="text1"/>
                <w:sz w:val="22"/>
              </w:rPr>
            </w:pPr>
            <w:r>
              <w:rPr>
                <w:rFonts w:hint="eastAsia"/>
                <w:color w:val="000000" w:themeColor="text1"/>
                <w:sz w:val="22"/>
              </w:rPr>
              <w:t>　</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　</w:t>
            </w:r>
          </w:p>
        </w:tc>
        <w:tc>
          <w:tcPr>
            <w:tcW w:w="850"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851" w:type="dxa"/>
            <w:tcBorders>
              <w:top w:val="single" w:color="auto" w:sz="6" w:space="0"/>
              <w:left w:val="single" w:color="auto" w:sz="4" w:space="0"/>
              <w:bottom w:val="single" w:color="auto" w:sz="6" w:space="0"/>
              <w:right w:val="single" w:color="auto" w:sz="4" w:space="0"/>
            </w:tcBorders>
            <w:vAlign w:val="center"/>
          </w:tcPr>
          <w:p>
            <w:pPr>
              <w:jc w:val="center"/>
              <w:rPr>
                <w:rFonts w:ascii="宋体" w:hAnsi="宋体" w:eastAsia="宋体" w:cs="宋体"/>
                <w:color w:val="000000" w:themeColor="text1"/>
                <w:sz w:val="22"/>
              </w:rPr>
            </w:pPr>
            <w:r>
              <w:rPr>
                <w:rFonts w:hint="eastAsia"/>
                <w:color w:val="000000" w:themeColor="text1"/>
                <w:sz w:val="22"/>
              </w:rPr>
              <w:t>2*4</w:t>
            </w:r>
          </w:p>
        </w:tc>
        <w:tc>
          <w:tcPr>
            <w:tcW w:w="709" w:type="dxa"/>
            <w:tcBorders>
              <w:top w:val="single" w:color="auto" w:sz="6" w:space="0"/>
              <w:left w:val="single" w:color="auto" w:sz="4" w:space="0"/>
              <w:bottom w:val="single" w:color="auto" w:sz="6" w:space="0"/>
              <w:right w:val="single" w:color="auto" w:sz="4" w:space="0"/>
            </w:tcBorders>
            <w:vAlign w:val="center"/>
          </w:tcPr>
          <w:p>
            <w:pPr>
              <w:spacing w:line="360" w:lineRule="auto"/>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360" w:lineRule="auto"/>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5"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14</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培贤英语A</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20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9*16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15</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培贤英语B</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212</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128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18</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110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8*16</w:t>
            </w: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16</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培贤英语C</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110</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17</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培贤英语D</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214</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1.5</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54</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4*16</w:t>
            </w: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4"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培贤英语E</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PXE 111</w:t>
            </w:r>
          </w:p>
        </w:tc>
        <w:tc>
          <w:tcPr>
            <w:tcW w:w="42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48</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10</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kern w:val="0"/>
                <w:sz w:val="20"/>
                <w:szCs w:val="20"/>
              </w:rPr>
              <w:t>考查</w:t>
            </w:r>
          </w:p>
        </w:tc>
        <w:tc>
          <w:tcPr>
            <w:tcW w:w="850" w:type="dxa"/>
            <w:tcBorders>
              <w:top w:val="single" w:color="auto" w:sz="6"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4"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3*16</w:t>
            </w:r>
          </w:p>
        </w:tc>
        <w:tc>
          <w:tcPr>
            <w:tcW w:w="765" w:type="dxa"/>
            <w:tcBorders>
              <w:top w:val="single" w:color="auto" w:sz="6" w:space="0"/>
              <w:left w:val="single" w:color="auto" w:sz="4"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p>
        </w:tc>
        <w:tc>
          <w:tcPr>
            <w:tcW w:w="4151" w:type="dxa"/>
            <w:gridSpan w:val="2"/>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小计：（总学时比例32.08</w:t>
            </w:r>
            <w:r>
              <w:rPr>
                <w:rFonts w:ascii="宋体" w:hAnsi="宋体" w:cs="宋体"/>
                <w:kern w:val="0"/>
                <w:sz w:val="20"/>
                <w:szCs w:val="20"/>
              </w:rPr>
              <w:t>%</w:t>
            </w:r>
            <w:r>
              <w:rPr>
                <w:rFonts w:hint="eastAsia" w:ascii="宋体" w:hAnsi="宋体" w:cs="宋体"/>
                <w:kern w:val="0"/>
                <w:sz w:val="20"/>
                <w:szCs w:val="20"/>
              </w:rPr>
              <w:t>）</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40</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1092</w:t>
            </w:r>
          </w:p>
        </w:tc>
        <w:tc>
          <w:tcPr>
            <w:tcW w:w="992"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426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Cs w:val="21"/>
              </w:rPr>
            </w:pPr>
            <w:r>
              <w:rPr>
                <w:rFonts w:hint="eastAsia" w:ascii="宋体" w:hAnsi="宋体" w:eastAsia="宋体" w:cs="宋体"/>
                <w:szCs w:val="21"/>
              </w:rPr>
              <w:t>554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eastAsia="宋体" w:cs="宋体"/>
                <w:szCs w:val="21"/>
              </w:rPr>
            </w:pPr>
            <w:r>
              <w:rPr>
                <w:rFonts w:hint="eastAsia" w:ascii="宋体" w:hAnsi="宋体" w:eastAsia="宋体" w:cs="宋体"/>
                <w:szCs w:val="21"/>
              </w:rPr>
              <w:t>112</w:t>
            </w:r>
          </w:p>
          <w:p>
            <w:pPr>
              <w:spacing w:line="360" w:lineRule="auto"/>
              <w:jc w:val="center"/>
              <w:rPr>
                <w:rFonts w:ascii="宋体" w:hAnsi="宋体" w:eastAsia="宋体" w:cs="宋体"/>
                <w:szCs w:val="21"/>
              </w:rPr>
            </w:pPr>
            <w:r>
              <w:rPr>
                <w:rFonts w:hint="eastAsia" w:ascii="宋体" w:hAnsi="宋体" w:eastAsia="宋体" w:cs="宋体"/>
                <w:szCs w:val="21"/>
              </w:rPr>
              <w:t>112</w:t>
            </w: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p>
        </w:tc>
        <w:tc>
          <w:tcPr>
            <w:tcW w:w="850"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442</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298</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168</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宋体"/>
                <w:szCs w:val="21"/>
              </w:rPr>
            </w:pPr>
            <w:r>
              <w:rPr>
                <w:rFonts w:hint="eastAsia" w:ascii="宋体" w:hAnsi="宋体" w:eastAsia="宋体" w:cs="宋体"/>
                <w:szCs w:val="21"/>
              </w:rPr>
              <w:t>136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Cs/>
                <w:sz w:val="20"/>
                <w:szCs w:val="20"/>
              </w:rPr>
            </w:pPr>
            <w:r>
              <w:rPr>
                <w:rFonts w:hint="eastAsia" w:ascii="宋体" w:hAnsi="宋体" w:eastAsia="宋体" w:cs="宋体"/>
                <w:szCs w:val="21"/>
              </w:rPr>
              <w:t>48</w:t>
            </w: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restart"/>
            <w:tcBorders>
              <w:left w:val="single" w:color="auto" w:sz="6" w:space="0"/>
              <w:right w:val="single" w:color="auto" w:sz="4"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 xml:space="preserve">选         修 （选够   1   分  即  可）                </w:t>
            </w: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泰语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101</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越南语</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14</w:t>
            </w:r>
            <w:r>
              <w:rPr>
                <w:rFonts w:ascii="宋体" w:hAnsi="宋体" w:cs="宋体"/>
                <w:color w:val="000000" w:themeColor="text1"/>
                <w:kern w:val="0"/>
                <w:sz w:val="20"/>
                <w:szCs w:val="20"/>
              </w:rPr>
              <w:tab/>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3</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营养学</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302</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4</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舞蹈</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104</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9</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羽毛球</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105</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11</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商务外交礼仪</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103</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8" w:hRule="exact"/>
          <w:jc w:val="center"/>
        </w:trPr>
        <w:tc>
          <w:tcPr>
            <w:tcW w:w="524" w:type="dxa"/>
            <w:vMerge w:val="continue"/>
            <w:tcBorders>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kern w:val="0"/>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职业道德</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PEC 106</w:t>
            </w:r>
          </w:p>
        </w:tc>
        <w:tc>
          <w:tcPr>
            <w:tcW w:w="425" w:type="dxa"/>
            <w:tcBorders>
              <w:top w:val="single" w:color="auto" w:sz="4" w:space="0"/>
              <w:left w:val="single" w:color="auto" w:sz="6" w:space="0"/>
              <w:bottom w:val="single" w:color="auto" w:sz="4" w:space="0"/>
              <w:right w:val="single" w:color="auto" w:sz="6" w:space="0"/>
            </w:tcBorders>
          </w:tcPr>
          <w:p>
            <w:pPr>
              <w:spacing w:line="360" w:lineRule="auto"/>
              <w:jc w:val="center"/>
              <w:rPr>
                <w:rFonts w:ascii="宋体" w:hAnsi="宋体"/>
                <w:color w:val="000000" w:themeColor="text1"/>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16</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14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spacing w:line="360" w:lineRule="auto"/>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考查</w:t>
            </w:r>
          </w:p>
        </w:tc>
        <w:tc>
          <w:tcPr>
            <w:tcW w:w="850" w:type="dxa"/>
            <w:tcBorders>
              <w:top w:val="single" w:color="auto" w:sz="4" w:space="0"/>
              <w:left w:val="single" w:color="auto" w:sz="6"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cs="宋体"/>
                <w:color w:val="000000"/>
                <w:kern w:val="0"/>
                <w:sz w:val="20"/>
                <w:szCs w:val="20"/>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bCs/>
                <w:sz w:val="20"/>
                <w:szCs w:val="20"/>
              </w:rPr>
            </w:pPr>
          </w:p>
        </w:tc>
        <w:tc>
          <w:tcPr>
            <w:tcW w:w="765" w:type="dxa"/>
            <w:tcBorders>
              <w:top w:val="single" w:color="auto" w:sz="4" w:space="0"/>
              <w:left w:val="single" w:color="auto" w:sz="4" w:space="0"/>
              <w:bottom w:val="single" w:color="auto" w:sz="4" w:space="0"/>
              <w:right w:val="single" w:color="auto" w:sz="12" w:space="0"/>
            </w:tcBorders>
            <w:vAlign w:val="center"/>
          </w:tcPr>
          <w:p>
            <w:pPr>
              <w:spacing w:line="360" w:lineRule="auto"/>
              <w:jc w:val="left"/>
              <w:rPr>
                <w:rFonts w:ascii="宋体" w:hAnsi="宋体"/>
                <w:bCs/>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81" w:hRule="exact"/>
          <w:jc w:val="center"/>
        </w:trPr>
        <w:tc>
          <w:tcPr>
            <w:tcW w:w="1053" w:type="dxa"/>
            <w:gridSpan w:val="2"/>
            <w:tcBorders>
              <w:top w:val="single" w:color="auto" w:sz="6" w:space="0"/>
              <w:left w:val="single" w:color="auto" w:sz="12" w:space="0"/>
              <w:bottom w:val="single" w:color="auto" w:sz="6" w:space="0"/>
              <w:right w:val="single" w:color="auto" w:sz="4" w:space="0"/>
            </w:tcBorders>
            <w:vAlign w:val="center"/>
          </w:tcPr>
          <w:p>
            <w:pPr>
              <w:widowControl/>
              <w:jc w:val="left"/>
              <w:rPr>
                <w:rFonts w:ascii="宋体" w:hAnsi="宋体"/>
                <w:sz w:val="20"/>
                <w:szCs w:val="20"/>
              </w:rPr>
            </w:pPr>
          </w:p>
        </w:tc>
        <w:tc>
          <w:tcPr>
            <w:tcW w:w="3062" w:type="dxa"/>
            <w:gridSpan w:val="2"/>
            <w:tcBorders>
              <w:top w:val="single" w:color="auto" w:sz="6" w:space="0"/>
              <w:left w:val="single" w:color="auto" w:sz="4" w:space="0"/>
              <w:bottom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小计：（总学时比例0.47</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rPr>
                <w:rFonts w:ascii="宋体" w:hAnsi="宋体"/>
                <w:sz w:val="20"/>
                <w:szCs w:val="20"/>
              </w:rPr>
            </w:pPr>
            <w:r>
              <w:rPr>
                <w:rFonts w:hint="eastAsia" w:ascii="宋体" w:hAnsi="宋体"/>
                <w:sz w:val="20"/>
                <w:szCs w:val="20"/>
              </w:rPr>
              <w:t>1</w:t>
            </w:r>
          </w:p>
        </w:tc>
        <w:tc>
          <w:tcPr>
            <w:tcW w:w="567" w:type="dxa"/>
            <w:tcBorders>
              <w:top w:val="single" w:color="auto" w:sz="6" w:space="0"/>
              <w:left w:val="single" w:color="auto" w:sz="6" w:space="0"/>
              <w:bottom w:val="single" w:color="auto" w:sz="6" w:space="0"/>
              <w:right w:val="single" w:color="auto" w:sz="6" w:space="0"/>
            </w:tcBorders>
          </w:tcPr>
          <w:p>
            <w:pPr>
              <w:widowControl/>
              <w:jc w:val="left"/>
              <w:rPr>
                <w:rFonts w:ascii="宋体" w:hAnsi="宋体"/>
                <w:sz w:val="20"/>
                <w:szCs w:val="20"/>
              </w:rPr>
            </w:pPr>
            <w:r>
              <w:rPr>
                <w:rFonts w:hint="eastAsia" w:ascii="宋体" w:hAnsi="宋体"/>
                <w:sz w:val="20"/>
                <w:szCs w:val="20"/>
              </w:rPr>
              <w:t>16</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r>
              <w:rPr>
                <w:rFonts w:hint="eastAsia" w:ascii="宋体" w:hAnsi="宋体"/>
                <w:sz w:val="20"/>
                <w:szCs w:val="20"/>
              </w:rPr>
              <w:t>14</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left"/>
              <w:rPr>
                <w:rFonts w:ascii="宋体" w:hAnsi="宋体"/>
                <w:sz w:val="20"/>
                <w:szCs w:val="20"/>
              </w:rPr>
            </w:pPr>
            <w:r>
              <w:rPr>
                <w:rFonts w:hint="eastAsia" w:ascii="宋体" w:hAnsi="宋体"/>
                <w:sz w:val="20"/>
                <w:szCs w:val="20"/>
              </w:rPr>
              <w:t>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jc w:val="left"/>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widowControl/>
              <w:jc w:val="left"/>
              <w:rPr>
                <w:rFonts w:ascii="宋体" w:hAnsi="宋体"/>
                <w:sz w:val="20"/>
                <w:szCs w:val="20"/>
              </w:rPr>
            </w:pPr>
          </w:p>
        </w:tc>
        <w:tc>
          <w:tcPr>
            <w:tcW w:w="4876" w:type="dxa"/>
            <w:gridSpan w:val="6"/>
            <w:tcBorders>
              <w:top w:val="single" w:color="auto" w:sz="6" w:space="0"/>
              <w:left w:val="single" w:color="auto" w:sz="6" w:space="0"/>
              <w:bottom w:val="single" w:color="auto" w:sz="6" w:space="0"/>
              <w:right w:val="single" w:color="auto" w:sz="12" w:space="0"/>
            </w:tcBorders>
            <w:vAlign w:val="center"/>
          </w:tcPr>
          <w:p>
            <w:pPr>
              <w:widowControl/>
              <w:jc w:val="left"/>
              <w:rPr>
                <w:rFonts w:ascii="宋体" w:hAnsi="宋体"/>
                <w:sz w:val="20"/>
                <w:szCs w:val="20"/>
              </w:rPr>
            </w:pPr>
            <w:r>
              <w:rPr>
                <w:rFonts w:hint="eastAsia" w:ascii="宋体" w:hAnsi="宋体"/>
                <w:sz w:val="20"/>
                <w:szCs w:val="20"/>
              </w:rPr>
              <w:t>说明：学生在第1—6期选修够1个学分以上即可；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00" w:hRule="atLeast"/>
          <w:jc w:val="center"/>
        </w:trPr>
        <w:tc>
          <w:tcPr>
            <w:tcW w:w="524" w:type="dxa"/>
            <w:vMerge w:val="restart"/>
            <w:tcBorders>
              <w:top w:val="single" w:color="auto" w:sz="6" w:space="0"/>
              <w:left w:val="single" w:color="auto" w:sz="12" w:space="0"/>
              <w:right w:val="single" w:color="auto" w:sz="6" w:space="0"/>
            </w:tcBorders>
            <w:textDirection w:val="tbRlV"/>
            <w:vAlign w:val="center"/>
          </w:tcPr>
          <w:p>
            <w:pPr>
              <w:widowControl/>
              <w:ind w:left="113" w:right="113"/>
              <w:jc w:val="center"/>
              <w:rPr>
                <w:rFonts w:ascii="宋体" w:hAnsi="宋体"/>
                <w:sz w:val="20"/>
                <w:szCs w:val="20"/>
              </w:rPr>
            </w:pPr>
            <w:r>
              <w:rPr>
                <w:rFonts w:hint="eastAsia" w:ascii="宋体" w:hAnsi="宋体"/>
                <w:sz w:val="20"/>
                <w:szCs w:val="20"/>
              </w:rPr>
              <w:t>专  业  技  能  课   程</w:t>
            </w:r>
          </w:p>
        </w:tc>
        <w:tc>
          <w:tcPr>
            <w:tcW w:w="529" w:type="dxa"/>
            <w:vMerge w:val="restart"/>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r>
              <w:rPr>
                <w:rFonts w:ascii="宋体" w:hAnsi="宋体"/>
                <w:sz w:val="20"/>
                <w:szCs w:val="20"/>
              </w:rPr>
              <w:t>专业必修</w:t>
            </w: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University English Writing Skills</w:t>
            </w:r>
            <w:r>
              <w:rPr>
                <w:rFonts w:hint="eastAsia" w:ascii="宋体" w:hAnsi="宋体" w:cs="宋体"/>
                <w:color w:val="000000" w:themeColor="text1"/>
                <w:kern w:val="0"/>
                <w:sz w:val="20"/>
                <w:szCs w:val="20"/>
              </w:rPr>
              <w:t xml:space="preserve"> (上）(下）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OUW 101/</w:t>
            </w:r>
            <w:r>
              <w:rPr>
                <w:rFonts w:ascii="宋体" w:hAnsi="宋体" w:cs="宋体"/>
                <w:color w:val="000000" w:themeColor="text1"/>
                <w:kern w:val="0"/>
                <w:sz w:val="20"/>
                <w:szCs w:val="20"/>
              </w:rPr>
              <w:t>OUW 102</w:t>
            </w:r>
          </w:p>
        </w:tc>
        <w:tc>
          <w:tcPr>
            <w:tcW w:w="425"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color w:val="000000" w:themeColor="text1"/>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w:t>
            </w:r>
            <w:r>
              <w:rPr>
                <w:rFonts w:ascii="宋体" w:hAnsi="宋体"/>
                <w:color w:val="000000" w:themeColor="text1"/>
                <w:sz w:val="20"/>
                <w:szCs w:val="20"/>
              </w:rPr>
              <w:t>*16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50"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ind w:left="113" w:right="113"/>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Presentation Skills Course  </w:t>
            </w:r>
            <w:r>
              <w:rPr>
                <w:rFonts w:hint="eastAsia" w:ascii="宋体" w:hAnsi="宋体" w:cs="宋体"/>
                <w:color w:val="000000" w:themeColor="text1"/>
                <w:kern w:val="0"/>
                <w:sz w:val="20"/>
                <w:szCs w:val="20"/>
              </w:rPr>
              <w:t>（上）（下）</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OUP 101/</w:t>
            </w:r>
            <w:r>
              <w:rPr>
                <w:rFonts w:ascii="宋体" w:hAnsi="宋体" w:cs="宋体"/>
                <w:color w:val="000000" w:themeColor="text1"/>
                <w:kern w:val="0"/>
                <w:sz w:val="20"/>
                <w:szCs w:val="20"/>
              </w:rPr>
              <w:t>OUP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FF0000"/>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48</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16</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eastAsia="宋体" w:cs="宋体"/>
                <w:szCs w:val="21"/>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ascii="宋体" w:hAnsi="宋体"/>
                <w:color w:val="000000" w:themeColor="text1"/>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ascii="宋体" w:hAnsi="宋体"/>
                <w:color w:val="000000" w:themeColor="text1"/>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5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textDirection w:val="tbRlV"/>
            <w:vAlign w:val="center"/>
          </w:tcPr>
          <w:p>
            <w:pPr>
              <w:ind w:left="113" w:right="113"/>
              <w:jc w:val="center"/>
              <w:rPr>
                <w:rFonts w:ascii="宋体" w:hAnsi="宋体"/>
                <w:b/>
                <w:sz w:val="20"/>
                <w:szCs w:val="20"/>
              </w:rPr>
            </w:pPr>
          </w:p>
        </w:tc>
        <w:tc>
          <w:tcPr>
            <w:tcW w:w="556"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Introduction to Quantitative Methods  (Level 4)</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ACC 814</w:t>
            </w:r>
          </w:p>
        </w:tc>
        <w:tc>
          <w:tcPr>
            <w:tcW w:w="425"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Dynamic Business Environments  (DBE)(L4)</w:t>
            </w:r>
          </w:p>
        </w:tc>
        <w:tc>
          <w:tcPr>
            <w:tcW w:w="1645"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404</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Enterprising Organisations  (EO)(L4)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405</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Principles of Marketing Practice (PMP)(L4)</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401</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International Business Economics and Markets (IBEM)(L5)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409</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67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widowControl/>
              <w:jc w:val="left"/>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Buyer and Consumer Behaviour  (BCB)(L5)</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ABE 408</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互联网金融概论</w:t>
            </w:r>
          </w:p>
        </w:tc>
        <w:tc>
          <w:tcPr>
            <w:tcW w:w="164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101</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992"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24</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24</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4*12</w:t>
            </w: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61"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6"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金融学基础</w:t>
            </w:r>
          </w:p>
        </w:tc>
        <w:tc>
          <w:tcPr>
            <w:tcW w:w="1645"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202</w:t>
            </w:r>
          </w:p>
        </w:tc>
        <w:tc>
          <w:tcPr>
            <w:tcW w:w="425" w:type="dxa"/>
            <w:tcBorders>
              <w:top w:val="single" w:color="auto" w:sz="6"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w:t>
            </w:r>
          </w:p>
        </w:tc>
        <w:tc>
          <w:tcPr>
            <w:tcW w:w="567"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851" w:type="dxa"/>
            <w:tcBorders>
              <w:top w:val="single" w:color="auto" w:sz="6"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92" w:type="dxa"/>
            <w:tcBorders>
              <w:top w:val="single" w:color="auto" w:sz="6"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　</w:t>
            </w:r>
          </w:p>
        </w:tc>
        <w:tc>
          <w:tcPr>
            <w:tcW w:w="851" w:type="dxa"/>
            <w:tcBorders>
              <w:top w:val="single" w:color="auto" w:sz="6"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0"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1"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09" w:type="dxa"/>
            <w:tcBorders>
              <w:top w:val="single" w:color="auto" w:sz="6"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65" w:type="dxa"/>
            <w:tcBorders>
              <w:top w:val="single" w:color="auto" w:sz="6"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互联网金融法律法规</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102</w:t>
            </w:r>
          </w:p>
        </w:tc>
        <w:tc>
          <w:tcPr>
            <w:tcW w:w="425" w:type="dxa"/>
            <w:tcBorders>
              <w:top w:val="single" w:color="auto" w:sz="4" w:space="0"/>
              <w:left w:val="single" w:color="auto" w:sz="6" w:space="0"/>
              <w:bottom w:val="single" w:color="auto" w:sz="4" w:space="0"/>
              <w:right w:val="single" w:color="auto" w:sz="6" w:space="0"/>
            </w:tcBorders>
          </w:tcPr>
          <w:p>
            <w:pPr>
              <w:widowControl/>
              <w:spacing w:line="240" w:lineRule="exact"/>
              <w:jc w:val="center"/>
              <w:textAlignment w:val="center"/>
              <w:rPr>
                <w:rFonts w:ascii="宋体" w:hAnsi="宋体" w:cs="宋体"/>
                <w:kern w:val="0"/>
                <w:sz w:val="20"/>
                <w:szCs w:val="20"/>
              </w:rPr>
            </w:pPr>
            <w:r>
              <w:rPr>
                <w:rFonts w:ascii="宋体" w:hAnsi="宋体" w:cs="宋体"/>
                <w:kern w:val="0"/>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w:t>
            </w:r>
          </w:p>
        </w:tc>
        <w:tc>
          <w:tcPr>
            <w:tcW w:w="567"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48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24</w:t>
            </w: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24</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4*12</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　</w:t>
            </w:r>
          </w:p>
        </w:tc>
        <w:tc>
          <w:tcPr>
            <w:tcW w:w="850"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spacing w:line="240" w:lineRule="exact"/>
              <w:jc w:val="center"/>
              <w:textAlignment w:val="center"/>
              <w:rPr>
                <w:rFonts w:ascii="宋体" w:hAnsi="宋体" w:cs="宋体"/>
                <w:color w:val="FF0000"/>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b/>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经济学基础</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103</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kern w:val="0"/>
                <w:sz w:val="20"/>
                <w:szCs w:val="20"/>
              </w:rPr>
            </w:pPr>
            <w:r>
              <w:rPr>
                <w:rFonts w:ascii="宋体" w:hAnsi="宋体" w:cs="宋体"/>
                <w:kern w:val="0"/>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0"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FF0000"/>
                <w:kern w:val="0"/>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widowControl/>
              <w:jc w:val="center"/>
              <w:textAlignment w:val="center"/>
              <w:rPr>
                <w:rFonts w:ascii="宋体" w:hAnsi="宋体" w:cs="宋体"/>
                <w:color w:val="FF0000"/>
                <w:kern w:val="0"/>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国际金融学</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306</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14</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证券投资理论与实务</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305</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15</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ascii="宋体" w:hAnsi="宋体" w:eastAsia="宋体"/>
                <w:sz w:val="20"/>
                <w:szCs w:val="20"/>
              </w:rPr>
              <w:t>互联网金融保险</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402</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7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4" w:space="0"/>
            </w:tcBorders>
            <w:vAlign w:val="center"/>
          </w:tcPr>
          <w:p>
            <w:pPr>
              <w:jc w:val="center"/>
              <w:rPr>
                <w:rFonts w:ascii="宋体" w:hAnsi="宋体"/>
                <w:sz w:val="20"/>
                <w:szCs w:val="20"/>
              </w:rPr>
            </w:pPr>
          </w:p>
        </w:tc>
        <w:tc>
          <w:tcPr>
            <w:tcW w:w="556"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互联网金融营销</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301</w:t>
            </w:r>
          </w:p>
        </w:tc>
        <w:tc>
          <w:tcPr>
            <w:tcW w:w="425" w:type="dxa"/>
            <w:tcBorders>
              <w:top w:val="single" w:color="auto" w:sz="4" w:space="0"/>
              <w:left w:val="single" w:color="auto" w:sz="6" w:space="0"/>
              <w:bottom w:val="single" w:color="auto" w:sz="4" w:space="0"/>
              <w:right w:val="single" w:color="auto" w:sz="6" w:space="0"/>
            </w:tcBorders>
          </w:tcPr>
          <w:p>
            <w:pPr>
              <w:jc w:val="center"/>
              <w:rPr>
                <w:rFonts w:ascii="宋体" w:hAnsi="宋体"/>
                <w:sz w:val="20"/>
                <w:szCs w:val="20"/>
              </w:rPr>
            </w:pPr>
            <w:r>
              <w:rPr>
                <w:rFonts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jc w:val="center"/>
              <w:rPr>
                <w:rFonts w:ascii="宋体" w:hAnsi="宋体" w:cs="宋体"/>
                <w:kern w:val="0"/>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39"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17</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互联网金融支付</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405</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6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18</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P2P股权与众筹</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402</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87"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19</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投资与理财</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IFM 501</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　</w:t>
            </w:r>
          </w:p>
        </w:tc>
        <w:tc>
          <w:tcPr>
            <w:tcW w:w="709"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353"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20</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商业银行经营管理</w:t>
            </w:r>
          </w:p>
        </w:tc>
        <w:tc>
          <w:tcPr>
            <w:tcW w:w="1645"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　IFM 407</w:t>
            </w:r>
          </w:p>
        </w:tc>
        <w:tc>
          <w:tcPr>
            <w:tcW w:w="425" w:type="dxa"/>
            <w:tcBorders>
              <w:top w:val="single" w:color="auto" w:sz="4" w:space="0"/>
              <w:left w:val="single" w:color="auto" w:sz="6" w:space="0"/>
              <w:bottom w:val="single" w:color="auto" w:sz="4" w:space="0"/>
              <w:right w:val="single" w:color="auto" w:sz="6" w:space="0"/>
            </w:tcBorders>
          </w:tcPr>
          <w:p>
            <w:pPr>
              <w:spacing w:line="240" w:lineRule="exact"/>
              <w:jc w:val="center"/>
              <w:rPr>
                <w:rFonts w:ascii="宋体" w:hAnsi="宋体"/>
                <w:sz w:val="20"/>
                <w:szCs w:val="20"/>
              </w:rPr>
            </w:pPr>
            <w:r>
              <w:rPr>
                <w:rFonts w:ascii="宋体" w:hAnsi="宋体"/>
                <w:sz w:val="20"/>
                <w:szCs w:val="20"/>
              </w:rPr>
              <w:t>*</w:t>
            </w:r>
          </w:p>
        </w:tc>
        <w:tc>
          <w:tcPr>
            <w:tcW w:w="567"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3</w:t>
            </w:r>
          </w:p>
        </w:tc>
        <w:tc>
          <w:tcPr>
            <w:tcW w:w="567"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64</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4" w:space="0"/>
              <w:left w:val="single" w:color="auto" w:sz="6" w:space="0"/>
              <w:bottom w:val="single" w:color="auto" w:sz="4"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widowControl/>
              <w:jc w:val="center"/>
              <w:textAlignment w:val="center"/>
              <w:rPr>
                <w:rFonts w:ascii="宋体" w:hAnsi="宋体"/>
                <w:sz w:val="20"/>
                <w:szCs w:val="20"/>
              </w:rPr>
            </w:pPr>
            <w:r>
              <w:rPr>
                <w:rFonts w:ascii="宋体" w:hAnsi="宋体" w:cs="宋体"/>
                <w:kern w:val="0"/>
                <w:sz w:val="20"/>
                <w:szCs w:val="20"/>
              </w:rPr>
              <w:t>考试</w:t>
            </w: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eastAsia="宋体" w:cs="宋体"/>
                <w:sz w:val="22"/>
              </w:rPr>
            </w:pPr>
            <w:r>
              <w:rPr>
                <w:rFonts w:hint="eastAsia"/>
                <w:sz w:val="22"/>
              </w:rPr>
              <w:t>4*16</w:t>
            </w: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245"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jc w:val="center"/>
              <w:rPr>
                <w:rFonts w:ascii="宋体" w:hAnsi="宋体"/>
                <w:sz w:val="20"/>
                <w:szCs w:val="20"/>
              </w:rPr>
            </w:pPr>
          </w:p>
        </w:tc>
        <w:tc>
          <w:tcPr>
            <w:tcW w:w="556" w:type="dxa"/>
            <w:tcBorders>
              <w:top w:val="single" w:color="auto" w:sz="4" w:space="0"/>
              <w:left w:val="single" w:color="auto" w:sz="6" w:space="0"/>
              <w:bottom w:val="single" w:color="auto" w:sz="4"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21</w:t>
            </w:r>
          </w:p>
        </w:tc>
        <w:tc>
          <w:tcPr>
            <w:tcW w:w="2506"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olor w:val="000000" w:themeColor="text1"/>
                <w:sz w:val="20"/>
                <w:szCs w:val="20"/>
              </w:rPr>
            </w:pPr>
            <w:r>
              <w:rPr>
                <w:rFonts w:ascii="宋体" w:hAnsi="宋体"/>
                <w:color w:val="000000" w:themeColor="text1"/>
                <w:sz w:val="20"/>
                <w:szCs w:val="20"/>
              </w:rPr>
              <w:t>实习报告</w:t>
            </w:r>
          </w:p>
        </w:tc>
        <w:tc>
          <w:tcPr>
            <w:tcW w:w="1645"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902</w:t>
            </w:r>
          </w:p>
        </w:tc>
        <w:tc>
          <w:tcPr>
            <w:tcW w:w="425" w:type="dxa"/>
            <w:tcBorders>
              <w:top w:val="single" w:color="auto" w:sz="4" w:space="0"/>
              <w:left w:val="single" w:color="auto" w:sz="6" w:space="0"/>
              <w:bottom w:val="single" w:color="auto" w:sz="4" w:space="0"/>
              <w:right w:val="single" w:color="auto" w:sz="6" w:space="0"/>
            </w:tcBorders>
          </w:tcPr>
          <w:p>
            <w:pPr>
              <w:widowControl/>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5</w:t>
            </w:r>
          </w:p>
        </w:tc>
        <w:tc>
          <w:tcPr>
            <w:tcW w:w="567"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w:t>
            </w:r>
            <w:r>
              <w:rPr>
                <w:rFonts w:hint="eastAsia" w:ascii="宋体" w:hAnsi="宋体" w:cs="宋体"/>
                <w:color w:val="000000" w:themeColor="text1"/>
                <w:kern w:val="0"/>
                <w:sz w:val="20"/>
                <w:szCs w:val="20"/>
              </w:rPr>
              <w:t>68</w:t>
            </w:r>
          </w:p>
        </w:tc>
        <w:tc>
          <w:tcPr>
            <w:tcW w:w="992"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851" w:type="dxa"/>
            <w:tcBorders>
              <w:top w:val="single" w:color="auto" w:sz="4" w:space="0"/>
              <w:left w:val="single" w:color="auto" w:sz="6" w:space="0"/>
              <w:bottom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168</w:t>
            </w:r>
          </w:p>
        </w:tc>
        <w:tc>
          <w:tcPr>
            <w:tcW w:w="992" w:type="dxa"/>
            <w:tcBorders>
              <w:top w:val="single" w:color="auto" w:sz="4" w:space="0"/>
              <w:left w:val="single" w:color="auto" w:sz="6" w:space="0"/>
              <w:bottom w:val="single" w:color="auto" w:sz="4"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4" w:space="0"/>
              <w:left w:val="single" w:color="auto" w:sz="4"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考查</w:t>
            </w:r>
          </w:p>
        </w:tc>
        <w:tc>
          <w:tcPr>
            <w:tcW w:w="850" w:type="dxa"/>
            <w:tcBorders>
              <w:top w:val="single" w:color="auto" w:sz="4" w:space="0"/>
              <w:left w:val="single" w:color="auto" w:sz="6" w:space="0"/>
              <w:bottom w:val="single" w:color="auto" w:sz="4"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4" w:space="0"/>
              <w:left w:val="single" w:color="auto" w:sz="6" w:space="0"/>
              <w:bottom w:val="single" w:color="auto" w:sz="4"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28</w:t>
            </w:r>
            <w:r>
              <w:rPr>
                <w:rFonts w:ascii="宋体" w:hAnsi="宋体"/>
                <w:color w:val="000000" w:themeColor="text1"/>
                <w:sz w:val="20"/>
                <w:szCs w:val="20"/>
              </w:rPr>
              <w:t>*6</w:t>
            </w:r>
          </w:p>
        </w:tc>
        <w:tc>
          <w:tcPr>
            <w:tcW w:w="765" w:type="dxa"/>
            <w:tcBorders>
              <w:top w:val="single" w:color="auto" w:sz="4" w:space="0"/>
              <w:left w:val="single" w:color="auto" w:sz="6" w:space="0"/>
              <w:bottom w:val="single" w:color="auto" w:sz="4" w:space="0"/>
              <w:right w:val="single" w:color="auto" w:sz="12" w:space="0"/>
            </w:tcBorders>
            <w:vAlign w:val="center"/>
          </w:tcPr>
          <w:p>
            <w:pPr>
              <w:spacing w:line="240" w:lineRule="exact"/>
              <w:jc w:val="center"/>
              <w:rPr>
                <w:rFonts w:ascii="宋体" w:hAnsi="宋体"/>
                <w:color w:val="000000" w:themeColor="text1"/>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83"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widowControl/>
              <w:jc w:val="left"/>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22</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r>
              <w:rPr>
                <w:rFonts w:ascii="宋体" w:hAnsi="宋体"/>
                <w:color w:val="000000" w:themeColor="text1"/>
                <w:sz w:val="20"/>
                <w:szCs w:val="20"/>
              </w:rPr>
              <w:t>实习</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GRD 901</w:t>
            </w:r>
          </w:p>
        </w:tc>
        <w:tc>
          <w:tcPr>
            <w:tcW w:w="425" w:type="dxa"/>
            <w:tcBorders>
              <w:top w:val="single" w:color="auto" w:sz="6" w:space="0"/>
              <w:left w:val="single" w:color="auto" w:sz="6" w:space="0"/>
              <w:bottom w:val="single" w:color="auto" w:sz="6" w:space="0"/>
              <w:right w:val="single" w:color="auto" w:sz="6" w:space="0"/>
            </w:tcBorders>
          </w:tcPr>
          <w:p>
            <w:pPr>
              <w:widowControl/>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6</w:t>
            </w:r>
          </w:p>
        </w:tc>
        <w:tc>
          <w:tcPr>
            <w:tcW w:w="567"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720</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0</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720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考查</w:t>
            </w: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color w:val="000000" w:themeColor="text1"/>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color w:val="000000" w:themeColor="text1"/>
                <w:sz w:val="20"/>
                <w:szCs w:val="20"/>
              </w:rPr>
            </w:pPr>
            <w:r>
              <w:rPr>
                <w:rFonts w:hint="eastAsia" w:ascii="宋体" w:hAnsi="宋体"/>
                <w:color w:val="000000" w:themeColor="text1"/>
                <w:sz w:val="20"/>
                <w:szCs w:val="20"/>
              </w:rPr>
              <w:t>30</w:t>
            </w:r>
            <w:r>
              <w:rPr>
                <w:rFonts w:ascii="宋体" w:hAnsi="宋体"/>
                <w:color w:val="000000" w:themeColor="text1"/>
                <w:sz w:val="20"/>
                <w:szCs w:val="20"/>
              </w:rPr>
              <w:t>*</w:t>
            </w:r>
            <w:r>
              <w:rPr>
                <w:rFonts w:hint="eastAsia" w:ascii="宋体" w:hAnsi="宋体"/>
                <w:color w:val="000000" w:themeColor="text1"/>
                <w:sz w:val="20"/>
                <w:szCs w:val="20"/>
              </w:rPr>
              <w:t>24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tcBorders>
              <w:top w:val="single" w:color="auto" w:sz="6" w:space="0"/>
              <w:left w:val="single" w:color="auto" w:sz="6" w:space="0"/>
              <w:right w:val="single" w:color="auto" w:sz="6" w:space="0"/>
            </w:tcBorders>
            <w:vAlign w:val="center"/>
          </w:tcPr>
          <w:p>
            <w:pPr>
              <w:jc w:val="center"/>
              <w:rPr>
                <w:rFonts w:ascii="宋体" w:hAnsi="宋体"/>
                <w:sz w:val="20"/>
                <w:szCs w:val="20"/>
              </w:rPr>
            </w:pPr>
          </w:p>
        </w:tc>
        <w:tc>
          <w:tcPr>
            <w:tcW w:w="3062" w:type="dxa"/>
            <w:gridSpan w:val="2"/>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r>
              <w:rPr>
                <w:rFonts w:hint="eastAsia" w:ascii="宋体" w:hAnsi="宋体"/>
                <w:sz w:val="20"/>
                <w:szCs w:val="20"/>
              </w:rPr>
              <w:t>小计：（总学时比例</w:t>
            </w:r>
            <w:r>
              <w:rPr>
                <w:rFonts w:hint="eastAsia" w:ascii="宋体" w:hAnsi="宋体"/>
                <w:sz w:val="20"/>
                <w:szCs w:val="20"/>
                <w:lang w:val="en-US" w:eastAsia="zh-CN"/>
              </w:rPr>
              <w:t>57</w:t>
            </w:r>
            <w:r>
              <w:rPr>
                <w:rFonts w:hint="eastAsia" w:ascii="宋体" w:hAnsi="宋体"/>
                <w:sz w:val="20"/>
                <w:szCs w:val="20"/>
              </w:rPr>
              <w:t>.1</w:t>
            </w:r>
            <w:r>
              <w:rPr>
                <w:rFonts w:hint="eastAsia" w:ascii="宋体" w:hAnsi="宋体"/>
                <w:sz w:val="20"/>
                <w:szCs w:val="20"/>
                <w:lang w:val="en-US" w:eastAsia="zh-CN"/>
              </w:rPr>
              <w:t>1</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s="宋体"/>
                <w:kern w:val="0"/>
                <w:sz w:val="20"/>
                <w:szCs w:val="20"/>
              </w:rPr>
            </w:pP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hint="eastAsia" w:ascii="宋体" w:hAnsi="宋体" w:cs="宋体" w:eastAsiaTheme="minorEastAsia"/>
                <w:kern w:val="0"/>
                <w:sz w:val="20"/>
                <w:szCs w:val="20"/>
                <w:lang w:eastAsia="zh-CN"/>
              </w:rPr>
            </w:pPr>
            <w:r>
              <w:rPr>
                <w:rFonts w:hint="eastAsia" w:ascii="宋体" w:hAnsi="宋体" w:cs="宋体"/>
                <w:kern w:val="0"/>
                <w:sz w:val="20"/>
                <w:szCs w:val="20"/>
              </w:rPr>
              <w:t>6</w:t>
            </w:r>
            <w:r>
              <w:rPr>
                <w:rFonts w:hint="eastAsia" w:ascii="宋体" w:hAnsi="宋体" w:cs="宋体"/>
                <w:kern w:val="0"/>
                <w:sz w:val="20"/>
                <w:szCs w:val="20"/>
                <w:lang w:val="en-US" w:eastAsia="zh-CN"/>
              </w:rPr>
              <w:t>7</w:t>
            </w: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highlight w:val="yellow"/>
              </w:rPr>
            </w:pPr>
            <w:r>
              <w:rPr>
                <w:rFonts w:hint="eastAsia" w:ascii="宋体" w:hAnsi="宋体" w:cs="宋体"/>
                <w:kern w:val="0"/>
                <w:sz w:val="20"/>
                <w:szCs w:val="20"/>
              </w:rPr>
              <w:t>1944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highlight w:val="yellow"/>
              </w:rPr>
            </w:pPr>
            <w:r>
              <w:rPr>
                <w:rFonts w:hint="eastAsia" w:ascii="宋体" w:hAnsi="宋体" w:cs="宋体"/>
                <w:kern w:val="0"/>
                <w:sz w:val="20"/>
                <w:szCs w:val="20"/>
              </w:rPr>
              <w:t>644</w:t>
            </w:r>
          </w:p>
        </w:tc>
        <w:tc>
          <w:tcPr>
            <w:tcW w:w="1843" w:type="dxa"/>
            <w:gridSpan w:val="2"/>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1300</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cs="宋体"/>
                <w:kern w:val="0"/>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4" w:hRule="exac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restart"/>
            <w:tcBorders>
              <w:top w:val="single" w:color="auto" w:sz="6" w:space="0"/>
              <w:left w:val="single" w:color="auto" w:sz="6" w:space="0"/>
              <w:right w:val="single" w:color="auto" w:sz="6" w:space="0"/>
            </w:tcBorders>
            <w:vAlign w:val="center"/>
          </w:tcPr>
          <w:p>
            <w:pPr>
              <w:jc w:val="center"/>
              <w:rPr>
                <w:rFonts w:ascii="宋体" w:hAnsi="宋体"/>
                <w:sz w:val="20"/>
                <w:szCs w:val="20"/>
              </w:rPr>
            </w:pPr>
            <w:r>
              <w:rPr>
                <w:rFonts w:ascii="宋体" w:hAnsi="宋体"/>
                <w:sz w:val="20"/>
                <w:szCs w:val="20"/>
              </w:rPr>
              <w:t>选修课程</w:t>
            </w:r>
          </w:p>
          <w:p>
            <w:pPr>
              <w:rPr>
                <w:rFonts w:ascii="宋体" w:hAnsi="宋体"/>
                <w:sz w:val="20"/>
                <w:szCs w:val="20"/>
              </w:rPr>
            </w:pPr>
          </w:p>
        </w:tc>
        <w:tc>
          <w:tcPr>
            <w:tcW w:w="556"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1</w:t>
            </w:r>
          </w:p>
        </w:tc>
        <w:tc>
          <w:tcPr>
            <w:tcW w:w="2506"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0"/>
                <w:szCs w:val="20"/>
              </w:rPr>
            </w:pPr>
            <w:r>
              <w:rPr>
                <w:rFonts w:hint="eastAsia"/>
                <w:sz w:val="20"/>
                <w:szCs w:val="20"/>
              </w:rPr>
              <w:t>期货市场理论与实务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cs="宋体"/>
                <w:sz w:val="22"/>
              </w:rPr>
            </w:pPr>
            <w:r>
              <w:rPr>
                <w:rFonts w:hint="eastAsia"/>
                <w:sz w:val="22"/>
              </w:rPr>
              <w:t>IFM 505</w:t>
            </w:r>
          </w:p>
        </w:tc>
        <w:tc>
          <w:tcPr>
            <w:tcW w:w="425" w:type="dxa"/>
            <w:tcBorders>
              <w:top w:val="single" w:color="auto" w:sz="6" w:space="0"/>
              <w:left w:val="single" w:color="auto" w:sz="6" w:space="0"/>
              <w:bottom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bottom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bottom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bottom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p>
            <w:pPr>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2506" w:type="dxa"/>
            <w:tcBorders>
              <w:top w:val="single" w:color="auto" w:sz="6" w:space="0"/>
              <w:left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管理学基础</w:t>
            </w:r>
          </w:p>
        </w:tc>
        <w:tc>
          <w:tcPr>
            <w:tcW w:w="1645"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IFM 104</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3</w:t>
            </w:r>
          </w:p>
        </w:tc>
        <w:tc>
          <w:tcPr>
            <w:tcW w:w="2506" w:type="dxa"/>
            <w:tcBorders>
              <w:top w:val="single" w:color="auto" w:sz="6" w:space="0"/>
              <w:left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企业战略管理</w:t>
            </w:r>
          </w:p>
        </w:tc>
        <w:tc>
          <w:tcPr>
            <w:tcW w:w="1645"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IFM 403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4</w:t>
            </w:r>
          </w:p>
        </w:tc>
        <w:tc>
          <w:tcPr>
            <w:tcW w:w="2506" w:type="dxa"/>
            <w:tcBorders>
              <w:top w:val="single" w:color="auto" w:sz="6" w:space="0"/>
              <w:left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证券交易</w:t>
            </w:r>
          </w:p>
        </w:tc>
        <w:tc>
          <w:tcPr>
            <w:tcW w:w="1645" w:type="dxa"/>
            <w:tcBorders>
              <w:top w:val="single" w:color="auto" w:sz="6" w:space="0"/>
              <w:left w:val="single" w:color="auto" w:sz="6" w:space="0"/>
              <w:right w:val="single" w:color="auto" w:sz="6" w:space="0"/>
            </w:tcBorders>
            <w:vAlign w:val="center"/>
          </w:tcPr>
          <w:p>
            <w:pPr>
              <w:jc w:val="center"/>
              <w:rPr>
                <w:rFonts w:ascii="宋体" w:hAnsi="宋体" w:cs="宋体"/>
                <w:sz w:val="22"/>
              </w:rPr>
            </w:pPr>
            <w:r>
              <w:rPr>
                <w:rFonts w:hint="eastAsia"/>
                <w:sz w:val="22"/>
              </w:rPr>
              <w:t>IFM 406</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56"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5</w:t>
            </w:r>
          </w:p>
        </w:tc>
        <w:tc>
          <w:tcPr>
            <w:tcW w:w="2506" w:type="dxa"/>
            <w:tcBorders>
              <w:top w:val="single" w:color="auto" w:sz="6" w:space="0"/>
              <w:left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行为金融学</w:t>
            </w:r>
          </w:p>
        </w:tc>
        <w:tc>
          <w:tcPr>
            <w:tcW w:w="1645"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IFM 506　</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3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6</w:t>
            </w:r>
          </w:p>
        </w:tc>
        <w:tc>
          <w:tcPr>
            <w:tcW w:w="2506" w:type="dxa"/>
            <w:tcBorders>
              <w:top w:val="single" w:color="auto" w:sz="6" w:space="0"/>
              <w:left w:val="single" w:color="auto" w:sz="4" w:space="0"/>
              <w:right w:val="single" w:color="auto" w:sz="6" w:space="0"/>
            </w:tcBorders>
            <w:vAlign w:val="center"/>
          </w:tcPr>
          <w:p>
            <w:pPr>
              <w:jc w:val="center"/>
              <w:rPr>
                <w:rFonts w:ascii="宋体" w:hAnsi="宋体" w:eastAsia="宋体" w:cs="宋体"/>
                <w:sz w:val="20"/>
                <w:szCs w:val="20"/>
              </w:rPr>
            </w:pPr>
            <w:r>
              <w:rPr>
                <w:rFonts w:hint="eastAsia"/>
                <w:sz w:val="20"/>
                <w:szCs w:val="20"/>
              </w:rPr>
              <w:t>会计基础</w:t>
            </w:r>
          </w:p>
        </w:tc>
        <w:tc>
          <w:tcPr>
            <w:tcW w:w="1645"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IFM 203</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3</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kern w:val="0"/>
                <w:sz w:val="20"/>
                <w:szCs w:val="20"/>
              </w:rPr>
            </w:pPr>
            <w:r>
              <w:rPr>
                <w:rFonts w:hint="eastAsia" w:ascii="宋体" w:hAnsi="宋体" w:cs="宋体"/>
                <w:kern w:val="0"/>
                <w:sz w:val="20"/>
                <w:szCs w:val="20"/>
              </w:rPr>
              <w:t>64</w:t>
            </w:r>
          </w:p>
        </w:tc>
        <w:tc>
          <w:tcPr>
            <w:tcW w:w="992"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olor w:val="000000" w:themeColor="text1"/>
                <w:sz w:val="20"/>
                <w:szCs w:val="20"/>
              </w:rPr>
            </w:pPr>
            <w:r>
              <w:rPr>
                <w:rFonts w:hint="eastAsia" w:ascii="宋体" w:hAnsi="宋体"/>
                <w:color w:val="000000" w:themeColor="text1"/>
                <w:sz w:val="20"/>
                <w:szCs w:val="20"/>
              </w:rPr>
              <w:t>32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spacing w:line="240" w:lineRule="exact"/>
              <w:jc w:val="center"/>
              <w:rPr>
                <w:rFonts w:ascii="宋体" w:hAnsi="宋体"/>
                <w:sz w:val="20"/>
                <w:szCs w:val="20"/>
              </w:rPr>
            </w:pPr>
            <w:r>
              <w:rPr>
                <w:rFonts w:ascii="宋体" w:hAnsi="宋体"/>
                <w:sz w:val="20"/>
                <w:szCs w:val="20"/>
              </w:rPr>
              <w:t>考试</w:t>
            </w:r>
          </w:p>
        </w:tc>
        <w:tc>
          <w:tcPr>
            <w:tcW w:w="850"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jc w:val="center"/>
              <w:rPr>
                <w:rFonts w:ascii="宋体" w:hAnsi="宋体" w:eastAsia="宋体" w:cs="宋体"/>
                <w:sz w:val="22"/>
              </w:rPr>
            </w:pPr>
            <w:r>
              <w:rPr>
                <w:rFonts w:hint="eastAsia"/>
                <w:sz w:val="22"/>
              </w:rPr>
              <w:t>4*16</w:t>
            </w:r>
          </w:p>
        </w:tc>
        <w:tc>
          <w:tcPr>
            <w:tcW w:w="851"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spacing w:line="360" w:lineRule="auto"/>
              <w:jc w:val="center"/>
              <w:rPr>
                <w:rFonts w:ascii="宋体" w:hAnsi="宋体"/>
                <w:sz w:val="20"/>
                <w:szCs w:val="20"/>
              </w:rPr>
            </w:pPr>
          </w:p>
        </w:tc>
        <w:tc>
          <w:tcPr>
            <w:tcW w:w="765" w:type="dxa"/>
            <w:tcBorders>
              <w:top w:val="single" w:color="auto" w:sz="6" w:space="0"/>
              <w:left w:val="single" w:color="auto" w:sz="6" w:space="0"/>
              <w:right w:val="single" w:color="auto" w:sz="12" w:space="0"/>
            </w:tcBorders>
            <w:vAlign w:val="center"/>
          </w:tcPr>
          <w:p>
            <w:pPr>
              <w:spacing w:line="360" w:lineRule="auto"/>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524" w:type="dxa"/>
            <w:vMerge w:val="restart"/>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7</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sz w:val="20"/>
                <w:szCs w:val="20"/>
              </w:rPr>
            </w:pPr>
            <w:r>
              <w:rPr>
                <w:rFonts w:ascii="宋体" w:hAnsi="宋体" w:cs="宋体"/>
                <w:color w:val="000000" w:themeColor="text1"/>
                <w:kern w:val="0"/>
                <w:sz w:val="20"/>
                <w:szCs w:val="20"/>
              </w:rPr>
              <w:t>Strategic Marketing (SM)(L6)</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sz w:val="22"/>
              </w:rPr>
            </w:pPr>
            <w:r>
              <w:rPr>
                <w:rFonts w:ascii="宋体" w:hAnsi="宋体" w:cs="宋体"/>
                <w:color w:val="000000" w:themeColor="text1"/>
                <w:kern w:val="0"/>
                <w:sz w:val="20"/>
                <w:szCs w:val="20"/>
              </w:rPr>
              <w:t>ABE 412</w:t>
            </w:r>
          </w:p>
        </w:tc>
        <w:tc>
          <w:tcPr>
            <w:tcW w:w="425" w:type="dxa"/>
            <w:tcBorders>
              <w:top w:val="single" w:color="auto" w:sz="6" w:space="0"/>
              <w:left w:val="single" w:color="auto" w:sz="6" w:space="0"/>
              <w:right w:val="single" w:color="auto" w:sz="6" w:space="0"/>
            </w:tcBorders>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kern w:val="0"/>
                <w:sz w:val="20"/>
                <w:szCs w:val="20"/>
              </w:rPr>
            </w:pPr>
            <w:r>
              <w:rPr>
                <w:rFonts w:hint="eastAsia" w:ascii="宋体" w:hAnsi="宋体" w:cs="宋体"/>
                <w:color w:val="000000" w:themeColor="text1"/>
                <w:kern w:val="0"/>
                <w:sz w:val="20"/>
                <w:szCs w:val="20"/>
              </w:rPr>
              <w:t xml:space="preserve">32  </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olor w:val="000000" w:themeColor="text1"/>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jc w:val="center"/>
              <w:textAlignment w:val="center"/>
              <w:rPr>
                <w:rFonts w:ascii="宋体" w:hAnsi="宋体" w:cs="宋体"/>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850" w:type="dxa"/>
            <w:tcBorders>
              <w:top w:val="single" w:color="auto" w:sz="6" w:space="0"/>
              <w:left w:val="single" w:color="auto" w:sz="6" w:space="0"/>
              <w:right w:val="single" w:color="auto" w:sz="6" w:space="0"/>
            </w:tcBorders>
            <w:vAlign w:val="center"/>
          </w:tcPr>
          <w:p>
            <w:pPr>
              <w:widowControl/>
              <w:jc w:val="center"/>
              <w:textAlignment w:val="center"/>
              <w:rPr>
                <w:sz w:val="22"/>
              </w:rPr>
            </w:pPr>
          </w:p>
        </w:tc>
        <w:tc>
          <w:tcPr>
            <w:tcW w:w="851"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p>
        </w:tc>
        <w:tc>
          <w:tcPr>
            <w:tcW w:w="709"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widowControl/>
              <w:jc w:val="center"/>
              <w:textAlignment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Managing Agile Organisations and People (MAOP)(L5)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406</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9</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Integrated Marketing Communications  (IMC)(L5)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ABE 407</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518" w:hRule="atLeast"/>
          <w:jc w:val="center"/>
        </w:trPr>
        <w:tc>
          <w:tcPr>
            <w:tcW w:w="524" w:type="dxa"/>
            <w:vMerge w:val="continue"/>
            <w:tcBorders>
              <w:left w:val="single" w:color="auto" w:sz="12" w:space="0"/>
              <w:right w:val="single" w:color="auto" w:sz="6" w:space="0"/>
            </w:tcBorders>
            <w:vAlign w:val="center"/>
          </w:tcPr>
          <w:p>
            <w:pPr>
              <w:widowControl/>
              <w:jc w:val="left"/>
              <w:rPr>
                <w:rFonts w:ascii="宋体" w:hAnsi="宋体"/>
                <w:sz w:val="20"/>
                <w:szCs w:val="20"/>
              </w:rPr>
            </w:pPr>
          </w:p>
        </w:tc>
        <w:tc>
          <w:tcPr>
            <w:tcW w:w="529" w:type="dxa"/>
            <w:vMerge w:val="continue"/>
            <w:tcBorders>
              <w:left w:val="single" w:color="auto" w:sz="6" w:space="0"/>
              <w:right w:val="single" w:color="auto" w:sz="6" w:space="0"/>
            </w:tcBorders>
            <w:vAlign w:val="center"/>
          </w:tcPr>
          <w:p>
            <w:pPr>
              <w:spacing w:line="360" w:lineRule="auto"/>
              <w:jc w:val="center"/>
              <w:rPr>
                <w:rFonts w:ascii="宋体" w:hAnsi="宋体"/>
                <w:sz w:val="20"/>
                <w:szCs w:val="20"/>
              </w:rPr>
            </w:pPr>
          </w:p>
        </w:tc>
        <w:tc>
          <w:tcPr>
            <w:tcW w:w="556" w:type="dxa"/>
            <w:tcBorders>
              <w:top w:val="single" w:color="auto" w:sz="6" w:space="0"/>
              <w:left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10</w:t>
            </w:r>
          </w:p>
        </w:tc>
        <w:tc>
          <w:tcPr>
            <w:tcW w:w="2506"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 xml:space="preserve">Human Resource Management (HRM)(L5)  </w:t>
            </w:r>
          </w:p>
        </w:tc>
        <w:tc>
          <w:tcPr>
            <w:tcW w:w="1645" w:type="dxa"/>
            <w:tcBorders>
              <w:top w:val="single" w:color="auto" w:sz="6" w:space="0"/>
              <w:left w:val="single" w:color="auto" w:sz="6"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ascii="宋体" w:hAnsi="宋体" w:cs="宋体"/>
                <w:color w:val="000000" w:themeColor="text1"/>
                <w:kern w:val="0"/>
                <w:sz w:val="20"/>
                <w:szCs w:val="20"/>
              </w:rPr>
              <w:t>HRM 815</w:t>
            </w:r>
          </w:p>
        </w:tc>
        <w:tc>
          <w:tcPr>
            <w:tcW w:w="425" w:type="dxa"/>
            <w:tcBorders>
              <w:top w:val="single" w:color="auto" w:sz="6" w:space="0"/>
              <w:left w:val="single" w:color="auto" w:sz="6" w:space="0"/>
              <w:right w:val="single" w:color="auto" w:sz="6" w:space="0"/>
            </w:tcBorders>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567"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32</w:t>
            </w:r>
          </w:p>
        </w:tc>
        <w:tc>
          <w:tcPr>
            <w:tcW w:w="992"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30</w:t>
            </w: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w:t>
            </w:r>
          </w:p>
        </w:tc>
        <w:tc>
          <w:tcPr>
            <w:tcW w:w="992" w:type="dxa"/>
            <w:tcBorders>
              <w:top w:val="single" w:color="auto" w:sz="6" w:space="0"/>
              <w:left w:val="single" w:color="auto" w:sz="6" w:space="0"/>
              <w:right w:val="single" w:color="auto" w:sz="4"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567" w:type="dxa"/>
            <w:tcBorders>
              <w:top w:val="single" w:color="auto" w:sz="6" w:space="0"/>
              <w:left w:val="single" w:color="auto" w:sz="4" w:space="0"/>
              <w:right w:val="single" w:color="auto" w:sz="6" w:space="0"/>
            </w:tcBorders>
            <w:vAlign w:val="center"/>
          </w:tcPr>
          <w:p>
            <w:pPr>
              <w:widowControl/>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考试</w:t>
            </w: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0"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851"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r>
              <w:rPr>
                <w:rFonts w:hint="eastAsia" w:ascii="宋体" w:hAnsi="宋体" w:cs="宋体"/>
                <w:color w:val="000000" w:themeColor="text1"/>
                <w:kern w:val="0"/>
                <w:sz w:val="20"/>
                <w:szCs w:val="20"/>
              </w:rPr>
              <w:t>2*16</w:t>
            </w:r>
          </w:p>
        </w:tc>
        <w:tc>
          <w:tcPr>
            <w:tcW w:w="709" w:type="dxa"/>
            <w:tcBorders>
              <w:top w:val="single" w:color="auto" w:sz="6" w:space="0"/>
              <w:left w:val="single" w:color="auto" w:sz="6" w:space="0"/>
              <w:right w:val="single" w:color="auto" w:sz="6" w:space="0"/>
            </w:tcBorders>
            <w:vAlign w:val="center"/>
          </w:tcPr>
          <w:p>
            <w:pPr>
              <w:widowControl/>
              <w:spacing w:line="240" w:lineRule="exact"/>
              <w:jc w:val="center"/>
              <w:textAlignment w:val="center"/>
              <w:rPr>
                <w:rFonts w:ascii="宋体" w:hAnsi="宋体" w:cs="宋体"/>
                <w:color w:val="000000" w:themeColor="text1"/>
                <w:kern w:val="0"/>
                <w:sz w:val="20"/>
                <w:szCs w:val="20"/>
              </w:rPr>
            </w:pPr>
          </w:p>
        </w:tc>
        <w:tc>
          <w:tcPr>
            <w:tcW w:w="765" w:type="dxa"/>
            <w:tcBorders>
              <w:top w:val="single" w:color="auto" w:sz="6" w:space="0"/>
              <w:left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nil"/>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hint="eastAsia" w:ascii="宋体" w:hAnsi="宋体"/>
                <w:sz w:val="20"/>
                <w:szCs w:val="20"/>
              </w:rPr>
              <w:t>小计：（总学时比例10.34</w:t>
            </w:r>
            <w:r>
              <w:rPr>
                <w:rFonts w:ascii="宋体" w:hAnsi="宋体"/>
                <w:sz w:val="20"/>
                <w:szCs w:val="20"/>
              </w:rPr>
              <w:t>%</w:t>
            </w:r>
            <w:r>
              <w:rPr>
                <w:rFonts w:hint="eastAsia" w:ascii="宋体" w:hAnsi="宋体"/>
                <w:sz w:val="20"/>
                <w:szCs w:val="20"/>
              </w:rPr>
              <w:t>）</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22</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352</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232</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120</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cantSplit/>
          <w:trHeight w:val="449" w:hRule="exact"/>
          <w:jc w:val="center"/>
        </w:trPr>
        <w:tc>
          <w:tcPr>
            <w:tcW w:w="524" w:type="dxa"/>
            <w:tcBorders>
              <w:top w:val="single" w:color="auto" w:sz="6" w:space="0"/>
              <w:left w:val="single" w:color="auto" w:sz="12" w:space="0"/>
              <w:bottom w:val="single" w:color="auto" w:sz="6" w:space="0"/>
              <w:right w:val="single" w:color="auto" w:sz="6" w:space="0"/>
            </w:tcBorders>
            <w:vAlign w:val="center"/>
          </w:tcPr>
          <w:p>
            <w:pPr>
              <w:widowControl/>
              <w:jc w:val="left"/>
              <w:rPr>
                <w:rFonts w:ascii="宋体" w:hAnsi="宋体"/>
                <w:sz w:val="20"/>
                <w:szCs w:val="20"/>
              </w:rPr>
            </w:pPr>
          </w:p>
        </w:tc>
        <w:tc>
          <w:tcPr>
            <w:tcW w:w="3591" w:type="dxa"/>
            <w:gridSpan w:val="3"/>
            <w:tcBorders>
              <w:top w:val="single" w:color="auto" w:sz="6" w:space="0"/>
              <w:left w:val="single" w:color="auto" w:sz="6" w:space="0"/>
              <w:bottom w:val="single" w:color="auto" w:sz="6" w:space="0"/>
              <w:right w:val="single" w:color="auto" w:sz="6" w:space="0"/>
            </w:tcBorders>
            <w:vAlign w:val="center"/>
          </w:tcPr>
          <w:p>
            <w:pPr>
              <w:spacing w:line="360" w:lineRule="auto"/>
              <w:jc w:val="center"/>
              <w:rPr>
                <w:rFonts w:ascii="宋体" w:hAnsi="宋体"/>
                <w:sz w:val="20"/>
                <w:szCs w:val="20"/>
              </w:rPr>
            </w:pPr>
            <w:r>
              <w:rPr>
                <w:rFonts w:ascii="宋体" w:hAnsi="宋体"/>
                <w:sz w:val="20"/>
                <w:szCs w:val="20"/>
              </w:rPr>
              <w:t>合计</w:t>
            </w:r>
          </w:p>
        </w:tc>
        <w:tc>
          <w:tcPr>
            <w:tcW w:w="1645" w:type="dxa"/>
            <w:tcBorders>
              <w:top w:val="single" w:color="auto" w:sz="6" w:space="0"/>
              <w:left w:val="single" w:color="auto" w:sz="6" w:space="0"/>
              <w:bottom w:val="single" w:color="auto" w:sz="6" w:space="0"/>
              <w:right w:val="single" w:color="auto" w:sz="6" w:space="0"/>
            </w:tcBorders>
            <w:vAlign w:val="center"/>
          </w:tcPr>
          <w:p>
            <w:pPr>
              <w:jc w:val="center"/>
              <w:rPr>
                <w:rFonts w:ascii="宋体" w:hAnsi="宋体"/>
                <w:sz w:val="20"/>
                <w:szCs w:val="20"/>
              </w:rPr>
            </w:pPr>
          </w:p>
        </w:tc>
        <w:tc>
          <w:tcPr>
            <w:tcW w:w="425" w:type="dxa"/>
            <w:tcBorders>
              <w:top w:val="single" w:color="auto" w:sz="6" w:space="0"/>
              <w:left w:val="single" w:color="auto" w:sz="6" w:space="0"/>
              <w:bottom w:val="single" w:color="auto" w:sz="6" w:space="0"/>
              <w:right w:val="single" w:color="auto" w:sz="6" w:space="0"/>
            </w:tcBorders>
          </w:tcPr>
          <w:p>
            <w:pPr>
              <w:spacing w:line="240" w:lineRule="exact"/>
              <w:jc w:val="center"/>
              <w:rPr>
                <w:rFonts w:ascii="宋体" w:hAnsi="宋体"/>
                <w:sz w:val="20"/>
                <w:szCs w:val="20"/>
              </w:rPr>
            </w:pP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hint="eastAsia" w:ascii="宋体" w:hAnsi="宋体" w:eastAsiaTheme="minorEastAsia"/>
                <w:sz w:val="20"/>
                <w:szCs w:val="20"/>
                <w:lang w:eastAsia="zh-CN"/>
              </w:rPr>
            </w:pPr>
            <w:r>
              <w:rPr>
                <w:rFonts w:hint="eastAsia" w:ascii="宋体" w:hAnsi="宋体"/>
                <w:sz w:val="20"/>
                <w:szCs w:val="20"/>
              </w:rPr>
              <w:t>13</w:t>
            </w:r>
            <w:r>
              <w:rPr>
                <w:rFonts w:hint="eastAsia" w:ascii="宋体" w:hAnsi="宋体"/>
                <w:sz w:val="20"/>
                <w:szCs w:val="20"/>
                <w:lang w:val="en-US" w:eastAsia="zh-CN"/>
              </w:rPr>
              <w:t>0</w:t>
            </w:r>
          </w:p>
        </w:tc>
        <w:tc>
          <w:tcPr>
            <w:tcW w:w="567"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3404</w:t>
            </w:r>
          </w:p>
        </w:tc>
        <w:tc>
          <w:tcPr>
            <w:tcW w:w="992"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1364</w:t>
            </w: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r>
              <w:rPr>
                <w:rFonts w:hint="eastAsia" w:ascii="宋体" w:hAnsi="宋体"/>
                <w:sz w:val="20"/>
                <w:szCs w:val="20"/>
              </w:rPr>
              <w:t>1208</w:t>
            </w:r>
          </w:p>
        </w:tc>
        <w:tc>
          <w:tcPr>
            <w:tcW w:w="992" w:type="dxa"/>
            <w:tcBorders>
              <w:top w:val="single" w:color="auto" w:sz="6" w:space="0"/>
              <w:left w:val="single" w:color="auto" w:sz="6" w:space="0"/>
              <w:bottom w:val="single" w:color="auto" w:sz="6" w:space="0"/>
              <w:right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832</w:t>
            </w:r>
          </w:p>
        </w:tc>
        <w:tc>
          <w:tcPr>
            <w:tcW w:w="567" w:type="dxa"/>
            <w:tcBorders>
              <w:top w:val="single" w:color="auto" w:sz="6" w:space="0"/>
              <w:left w:val="single" w:color="auto" w:sz="4"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0"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851"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09" w:type="dxa"/>
            <w:tcBorders>
              <w:top w:val="single" w:color="auto" w:sz="6" w:space="0"/>
              <w:left w:val="single" w:color="auto" w:sz="6" w:space="0"/>
              <w:bottom w:val="single" w:color="auto" w:sz="6" w:space="0"/>
              <w:right w:val="single" w:color="auto" w:sz="6" w:space="0"/>
            </w:tcBorders>
            <w:vAlign w:val="center"/>
          </w:tcPr>
          <w:p>
            <w:pPr>
              <w:spacing w:line="240" w:lineRule="exact"/>
              <w:jc w:val="center"/>
              <w:rPr>
                <w:rFonts w:ascii="宋体" w:hAnsi="宋体"/>
                <w:sz w:val="20"/>
                <w:szCs w:val="20"/>
              </w:rPr>
            </w:pPr>
          </w:p>
        </w:tc>
        <w:tc>
          <w:tcPr>
            <w:tcW w:w="765" w:type="dxa"/>
            <w:tcBorders>
              <w:top w:val="single" w:color="auto" w:sz="6" w:space="0"/>
              <w:left w:val="single" w:color="auto" w:sz="6" w:space="0"/>
              <w:bottom w:val="single" w:color="auto" w:sz="6" w:space="0"/>
              <w:right w:val="single" w:color="auto" w:sz="12" w:space="0"/>
            </w:tcBorders>
            <w:vAlign w:val="center"/>
          </w:tcPr>
          <w:p>
            <w:pPr>
              <w:spacing w:line="240" w:lineRule="exact"/>
              <w:jc w:val="center"/>
              <w:rPr>
                <w:rFonts w:ascii="宋体" w:hAnsi="宋体"/>
                <w:sz w:val="20"/>
                <w:szCs w:val="20"/>
              </w:rPr>
            </w:pPr>
          </w:p>
        </w:tc>
      </w:tr>
    </w:tbl>
    <w:p>
      <w:pPr>
        <w:widowControl/>
        <w:spacing w:line="360" w:lineRule="auto"/>
        <w:jc w:val="left"/>
        <w:rPr>
          <w:szCs w:val="21"/>
        </w:rPr>
      </w:pPr>
      <w:r>
        <w:rPr>
          <w:szCs w:val="21"/>
        </w:rPr>
        <w:t>注：</w:t>
      </w:r>
      <w:r>
        <w:rPr>
          <w:rFonts w:hint="eastAsia"/>
          <w:szCs w:val="21"/>
        </w:rPr>
        <w:t>1、</w:t>
      </w:r>
      <w:r>
        <w:rPr>
          <w:szCs w:val="21"/>
        </w:rPr>
        <w:t>如是核心课程，需在对应位置标</w:t>
      </w:r>
      <w:r>
        <w:rPr>
          <w:rFonts w:hint="eastAsia"/>
          <w:szCs w:val="21"/>
        </w:rPr>
        <w:t>“*”；</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2、等级英语，根据学生测试成绩划分班级，分层次教学，学够个层次即可；</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3、公共选修课，最少要修1分；</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4、专业选修课程，最少要修够</w:t>
      </w:r>
      <w:r>
        <w:rPr>
          <w:rFonts w:hint="eastAsia" w:ascii="仿宋_GB2312" w:hAnsi="Times New Roman" w:eastAsia="仿宋_GB2312" w:cs="Times New Roman"/>
          <w:bCs/>
          <w:sz w:val="24"/>
          <w:szCs w:val="24"/>
          <w:lang w:val="en-US" w:eastAsia="zh-CN"/>
        </w:rPr>
        <w:t>22</w:t>
      </w:r>
      <w:r>
        <w:rPr>
          <w:rFonts w:hint="eastAsia" w:ascii="仿宋_GB2312" w:hAnsi="Times New Roman" w:eastAsia="仿宋_GB2312" w:cs="Times New Roman"/>
          <w:bCs/>
          <w:sz w:val="24"/>
          <w:szCs w:val="24"/>
        </w:rPr>
        <w:t>分。</w:t>
      </w:r>
    </w:p>
    <w:p>
      <w:pPr>
        <w:spacing w:line="360" w:lineRule="auto"/>
        <w:rPr>
          <w:rFonts w:ascii="仿宋_GB2312" w:hAnsi="Times New Roman" w:eastAsia="仿宋_GB2312" w:cs="Times New Roman"/>
          <w:bCs/>
          <w:sz w:val="24"/>
          <w:szCs w:val="24"/>
        </w:rPr>
        <w:sectPr>
          <w:pgSz w:w="16838" w:h="11906" w:orient="landscape"/>
          <w:pgMar w:top="1418" w:right="1418" w:bottom="1418" w:left="1418" w:header="851" w:footer="992" w:gutter="0"/>
          <w:cols w:space="720" w:num="1"/>
          <w:docGrid w:linePitch="312" w:charSpace="0"/>
        </w:sectPr>
      </w:pPr>
      <w:r>
        <w:rPr>
          <w:rFonts w:hint="eastAsia" w:ascii="仿宋_GB2312" w:hAnsi="Times New Roman" w:eastAsia="仿宋_GB2312" w:cs="Times New Roman"/>
          <w:bCs/>
          <w:sz w:val="24"/>
          <w:szCs w:val="24"/>
        </w:rPr>
        <w:t>总时数3404学时，在总课时中，理论教学1364 学时，实践教学2040学时，两者比例1364:2040 ，实践教学占总时数59.93 %。</w:t>
      </w:r>
    </w:p>
    <w:p>
      <w:pPr>
        <w:spacing w:line="360" w:lineRule="auto"/>
        <w:ind w:firstLine="482" w:firstLineChars="200"/>
        <w:jc w:val="center"/>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（二）学期周数分配表</w:t>
      </w:r>
    </w:p>
    <w:tbl>
      <w:tblPr>
        <w:tblStyle w:val="26"/>
        <w:tblW w:w="771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561"/>
        <w:gridCol w:w="561"/>
        <w:gridCol w:w="593"/>
        <w:gridCol w:w="939"/>
        <w:gridCol w:w="561"/>
        <w:gridCol w:w="561"/>
        <w:gridCol w:w="562"/>
        <w:gridCol w:w="562"/>
        <w:gridCol w:w="562"/>
        <w:gridCol w:w="562"/>
        <w:gridCol w:w="562"/>
        <w:gridCol w:w="562"/>
        <w:gridCol w:w="562"/>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1384" w:hRule="atLeast"/>
          <w:jc w:val="center"/>
        </w:trPr>
        <w:tc>
          <w:tcPr>
            <w:tcW w:w="561" w:type="dxa"/>
            <w:tcBorders>
              <w:top w:val="single" w:color="000000" w:sz="12" w:space="0"/>
              <w:left w:val="single" w:color="000000" w:sz="12"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学    期</w:t>
            </w:r>
          </w:p>
        </w:tc>
        <w:tc>
          <w:tcPr>
            <w:tcW w:w="561"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教学周数</w:t>
            </w:r>
          </w:p>
        </w:tc>
        <w:tc>
          <w:tcPr>
            <w:tcW w:w="593"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理论教学周</w:t>
            </w:r>
          </w:p>
        </w:tc>
        <w:tc>
          <w:tcPr>
            <w:tcW w:w="939"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军    训</w:t>
            </w:r>
          </w:p>
          <w:p>
            <w:pPr>
              <w:spacing w:line="360" w:lineRule="auto"/>
              <w:jc w:val="center"/>
              <w:rPr>
                <w:rFonts w:ascii="宋体" w:hAnsi="宋体" w:cs="宋体"/>
                <w:bCs/>
                <w:sz w:val="20"/>
                <w:szCs w:val="21"/>
              </w:rPr>
            </w:pPr>
            <w:r>
              <w:rPr>
                <w:rFonts w:ascii="宋体" w:hAnsi="宋体" w:cs="宋体"/>
                <w:bCs/>
                <w:sz w:val="20"/>
                <w:szCs w:val="21"/>
              </w:rPr>
              <w:t>入学教育暨</w:t>
            </w:r>
          </w:p>
        </w:tc>
        <w:tc>
          <w:tcPr>
            <w:tcW w:w="561" w:type="dxa"/>
            <w:tcBorders>
              <w:top w:val="single" w:color="000000" w:sz="12" w:space="0"/>
              <w:left w:val="single" w:color="000000" w:sz="6" w:space="0"/>
              <w:bottom w:val="single" w:color="000000" w:sz="6" w:space="0"/>
              <w:right w:val="single" w:color="auto" w:sz="4"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认识实习</w:t>
            </w:r>
          </w:p>
        </w:tc>
        <w:tc>
          <w:tcPr>
            <w:tcW w:w="561" w:type="dxa"/>
            <w:tcBorders>
              <w:top w:val="single" w:color="000000" w:sz="12" w:space="0"/>
              <w:left w:val="single" w:color="auto" w:sz="4"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施工实习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工种实习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综合实习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毕业设计</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顶岗实习</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毕业教育</w:t>
            </w:r>
          </w:p>
        </w:tc>
        <w:tc>
          <w:tcPr>
            <w:tcW w:w="562" w:type="dxa"/>
            <w:tcBorders>
              <w:top w:val="single" w:color="000000" w:sz="12" w:space="0"/>
              <w:left w:val="single" w:color="000000" w:sz="6" w:space="0"/>
              <w:bottom w:val="single" w:color="000000" w:sz="6" w:space="0"/>
              <w:right w:val="single" w:color="000000" w:sz="6"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复习考试</w:t>
            </w:r>
          </w:p>
        </w:tc>
        <w:tc>
          <w:tcPr>
            <w:tcW w:w="562" w:type="dxa"/>
            <w:tcBorders>
              <w:top w:val="single" w:color="000000" w:sz="12" w:space="0"/>
              <w:left w:val="single" w:color="000000" w:sz="6" w:space="0"/>
              <w:bottom w:val="single" w:color="000000" w:sz="6" w:space="0"/>
              <w:right w:val="single" w:color="000000" w:sz="12" w:space="0"/>
            </w:tcBorders>
            <w:textDirection w:val="tbRlV"/>
            <w:vAlign w:val="center"/>
          </w:tcPr>
          <w:p>
            <w:pPr>
              <w:spacing w:line="360" w:lineRule="auto"/>
              <w:jc w:val="center"/>
              <w:rPr>
                <w:rFonts w:ascii="宋体" w:hAnsi="宋体" w:cs="宋体"/>
                <w:bCs/>
                <w:sz w:val="20"/>
                <w:szCs w:val="21"/>
              </w:rPr>
            </w:pPr>
            <w:r>
              <w:rPr>
                <w:rFonts w:ascii="宋体" w:hAnsi="宋体" w:cs="宋体"/>
                <w:bCs/>
                <w:sz w:val="20"/>
                <w:szCs w:val="21"/>
              </w:rPr>
              <w:t>机动</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434"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一</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hint="eastAsia" w:ascii="宋体" w:hAnsi="宋体"/>
                <w:color w:val="000000"/>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w:t>
            </w:r>
            <w:r>
              <w:rPr>
                <w:rFonts w:hint="eastAsia" w:ascii="宋体" w:hAnsi="宋体"/>
                <w:sz w:val="20"/>
                <w:szCs w:val="20"/>
              </w:rPr>
              <w:t>5</w:t>
            </w:r>
          </w:p>
        </w:tc>
        <w:tc>
          <w:tcPr>
            <w:tcW w:w="939" w:type="dxa"/>
            <w:tcBorders>
              <w:top w:val="single" w:color="000000" w:sz="6" w:space="0"/>
              <w:left w:val="single" w:color="000000" w:sz="6" w:space="0"/>
              <w:bottom w:val="single" w:color="000000" w:sz="6" w:space="0"/>
              <w:right w:val="single" w:color="000000" w:sz="6" w:space="0"/>
            </w:tcBorders>
            <w:vAlign w:val="bottom"/>
          </w:tcPr>
          <w:p>
            <w:pPr>
              <w:spacing w:line="360" w:lineRule="auto"/>
              <w:jc w:val="center"/>
              <w:rPr>
                <w:rFonts w:ascii="宋体" w:hAnsi="宋体"/>
                <w:sz w:val="20"/>
                <w:szCs w:val="20"/>
              </w:rPr>
            </w:pPr>
            <w:r>
              <w:rPr>
                <w:rFonts w:ascii="宋体" w:hAnsi="宋体"/>
                <w:sz w:val="20"/>
                <w:szCs w:val="20"/>
              </w:rPr>
              <w:t>2</w:t>
            </w: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1</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二</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93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90"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三</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93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四</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16</w:t>
            </w:r>
          </w:p>
        </w:tc>
        <w:tc>
          <w:tcPr>
            <w:tcW w:w="93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r>
              <w:rPr>
                <w:rFonts w:hint="eastAsia" w:ascii="宋体" w:hAnsi="宋体"/>
                <w:sz w:val="20"/>
                <w:szCs w:val="20"/>
              </w:rPr>
              <w:t>2</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05"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五</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color w:val="000000"/>
                <w:sz w:val="20"/>
                <w:szCs w:val="20"/>
              </w:rPr>
            </w:pPr>
            <w:r>
              <w:rPr>
                <w:rFonts w:ascii="宋体" w:hAnsi="宋体"/>
                <w:color w:val="000000"/>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ascii="宋体" w:hAnsi="宋体"/>
                <w:sz w:val="20"/>
                <w:szCs w:val="20"/>
              </w:rPr>
              <w:t>12</w:t>
            </w:r>
          </w:p>
        </w:tc>
        <w:tc>
          <w:tcPr>
            <w:tcW w:w="93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6</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28" w:hRule="atLeast"/>
          <w:jc w:val="center"/>
        </w:trPr>
        <w:tc>
          <w:tcPr>
            <w:tcW w:w="561" w:type="dxa"/>
            <w:tcBorders>
              <w:top w:val="single" w:color="000000" w:sz="6" w:space="0"/>
              <w:left w:val="single" w:color="000000" w:sz="12"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六</w:t>
            </w:r>
          </w:p>
        </w:tc>
        <w:tc>
          <w:tcPr>
            <w:tcW w:w="561"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r>
              <w:rPr>
                <w:rFonts w:hint="eastAsia" w:ascii="宋体" w:hAnsi="宋体"/>
                <w:sz w:val="20"/>
                <w:szCs w:val="20"/>
              </w:rPr>
              <w:t>20</w:t>
            </w:r>
          </w:p>
        </w:tc>
        <w:tc>
          <w:tcPr>
            <w:tcW w:w="593"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939"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000000" w:sz="6" w:space="0"/>
              <w:bottom w:val="single" w:color="000000" w:sz="6"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18</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6" w:space="0"/>
              <w:right w:val="single" w:color="000000" w:sz="6" w:space="0"/>
            </w:tcBorders>
            <w:vAlign w:val="center"/>
          </w:tcPr>
          <w:p>
            <w:pPr>
              <w:spacing w:line="240" w:lineRule="exact"/>
              <w:jc w:val="center"/>
              <w:rPr>
                <w:rFonts w:ascii="宋体" w:hAnsi="宋体"/>
                <w:sz w:val="20"/>
                <w:szCs w:val="20"/>
              </w:rPr>
            </w:pPr>
          </w:p>
        </w:tc>
        <w:tc>
          <w:tcPr>
            <w:tcW w:w="562" w:type="dxa"/>
            <w:tcBorders>
              <w:top w:val="single" w:color="000000" w:sz="6" w:space="0"/>
              <w:left w:val="single" w:color="000000" w:sz="6" w:space="0"/>
              <w:bottom w:val="single" w:color="000000" w:sz="6" w:space="0"/>
              <w:right w:val="single" w:color="000000" w:sz="12" w:space="0"/>
            </w:tcBorders>
            <w:vAlign w:val="center"/>
          </w:tcPr>
          <w:p>
            <w:pPr>
              <w:spacing w:line="240" w:lineRule="exact"/>
              <w:jc w:val="center"/>
              <w:rPr>
                <w:rFonts w:ascii="宋体" w:hAnsi="宋体"/>
                <w:sz w:val="20"/>
                <w:szCs w:val="20"/>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cantSplit/>
          <w:trHeight w:val="531" w:hRule="atLeast"/>
          <w:jc w:val="center"/>
        </w:trPr>
        <w:tc>
          <w:tcPr>
            <w:tcW w:w="561" w:type="dxa"/>
            <w:tcBorders>
              <w:top w:val="single" w:color="000000" w:sz="6" w:space="0"/>
              <w:left w:val="single" w:color="000000" w:sz="12"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总计</w:t>
            </w:r>
          </w:p>
        </w:tc>
        <w:tc>
          <w:tcPr>
            <w:tcW w:w="561"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120</w:t>
            </w:r>
          </w:p>
        </w:tc>
        <w:tc>
          <w:tcPr>
            <w:tcW w:w="593"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75</w:t>
            </w:r>
          </w:p>
        </w:tc>
        <w:tc>
          <w:tcPr>
            <w:tcW w:w="939"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2</w:t>
            </w:r>
            <w:r>
              <w:rPr>
                <w:rFonts w:ascii="宋体" w:hAnsi="宋体"/>
                <w:sz w:val="20"/>
                <w:szCs w:val="20"/>
              </w:rPr>
              <w:fldChar w:fldCharType="end"/>
            </w:r>
          </w:p>
        </w:tc>
        <w:tc>
          <w:tcPr>
            <w:tcW w:w="561" w:type="dxa"/>
            <w:tcBorders>
              <w:top w:val="single" w:color="000000" w:sz="6" w:space="0"/>
              <w:left w:val="single" w:color="000000" w:sz="6" w:space="0"/>
              <w:bottom w:val="single" w:color="000000" w:sz="12" w:space="0"/>
              <w:right w:val="single" w:color="auto" w:sz="4" w:space="0"/>
            </w:tcBorders>
            <w:vAlign w:val="center"/>
          </w:tcPr>
          <w:p>
            <w:pPr>
              <w:spacing w:line="360" w:lineRule="auto"/>
              <w:jc w:val="center"/>
              <w:rPr>
                <w:rFonts w:ascii="宋体" w:hAnsi="宋体"/>
                <w:sz w:val="20"/>
                <w:szCs w:val="20"/>
              </w:rPr>
            </w:pPr>
          </w:p>
        </w:tc>
        <w:tc>
          <w:tcPr>
            <w:tcW w:w="561" w:type="dxa"/>
            <w:tcBorders>
              <w:top w:val="single" w:color="000000" w:sz="6" w:space="0"/>
              <w:left w:val="single" w:color="auto" w:sz="4"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t>6</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ascii="宋体" w:hAnsi="宋体"/>
                <w:sz w:val="20"/>
                <w:szCs w:val="20"/>
              </w:rPr>
              <w:fldChar w:fldCharType="begin"/>
            </w:r>
            <w:r>
              <w:rPr>
                <w:rFonts w:ascii="宋体" w:hAnsi="宋体"/>
                <w:sz w:val="20"/>
                <w:szCs w:val="20"/>
              </w:rPr>
              <w:instrText xml:space="preserve"> =SUM(ABOVE) </w:instrText>
            </w:r>
            <w:r>
              <w:rPr>
                <w:rFonts w:ascii="宋体" w:hAnsi="宋体"/>
                <w:sz w:val="20"/>
                <w:szCs w:val="20"/>
              </w:rPr>
              <w:fldChar w:fldCharType="separate"/>
            </w:r>
            <w:r>
              <w:rPr>
                <w:rFonts w:ascii="宋体" w:hAnsi="宋体"/>
                <w:sz w:val="20"/>
                <w:szCs w:val="20"/>
              </w:rPr>
              <w:t>18</w:t>
            </w:r>
            <w:r>
              <w:rPr>
                <w:rFonts w:ascii="宋体" w:hAnsi="宋体"/>
                <w:sz w:val="20"/>
                <w:szCs w:val="20"/>
              </w:rPr>
              <w:fldChar w:fldCharType="end"/>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2</w:t>
            </w:r>
          </w:p>
        </w:tc>
        <w:tc>
          <w:tcPr>
            <w:tcW w:w="562" w:type="dxa"/>
            <w:tcBorders>
              <w:top w:val="single" w:color="000000" w:sz="6" w:space="0"/>
              <w:left w:val="single" w:color="000000" w:sz="6" w:space="0"/>
              <w:bottom w:val="single" w:color="000000" w:sz="12" w:space="0"/>
              <w:right w:val="single" w:color="000000" w:sz="6" w:space="0"/>
            </w:tcBorders>
            <w:vAlign w:val="center"/>
          </w:tcPr>
          <w:p>
            <w:pPr>
              <w:spacing w:line="360" w:lineRule="auto"/>
              <w:jc w:val="center"/>
              <w:rPr>
                <w:rFonts w:ascii="宋体" w:hAnsi="宋体"/>
                <w:sz w:val="20"/>
                <w:szCs w:val="20"/>
              </w:rPr>
            </w:pPr>
            <w:r>
              <w:rPr>
                <w:rFonts w:hint="eastAsia" w:ascii="宋体" w:hAnsi="宋体"/>
                <w:sz w:val="20"/>
                <w:szCs w:val="20"/>
              </w:rPr>
              <w:t>10</w:t>
            </w:r>
          </w:p>
        </w:tc>
        <w:tc>
          <w:tcPr>
            <w:tcW w:w="562" w:type="dxa"/>
            <w:tcBorders>
              <w:top w:val="single" w:color="000000" w:sz="6" w:space="0"/>
              <w:left w:val="single" w:color="000000" w:sz="6" w:space="0"/>
              <w:bottom w:val="single" w:color="000000" w:sz="12" w:space="0"/>
              <w:right w:val="single" w:color="000000" w:sz="12" w:space="0"/>
            </w:tcBorders>
            <w:vAlign w:val="center"/>
          </w:tcPr>
          <w:p>
            <w:pPr>
              <w:spacing w:line="360" w:lineRule="auto"/>
              <w:jc w:val="center"/>
              <w:rPr>
                <w:rFonts w:ascii="宋体" w:hAnsi="宋体"/>
                <w:sz w:val="20"/>
                <w:szCs w:val="20"/>
              </w:rPr>
            </w:pPr>
            <w:r>
              <w:rPr>
                <w:rFonts w:hint="eastAsia" w:ascii="宋体" w:hAnsi="宋体"/>
                <w:sz w:val="20"/>
                <w:szCs w:val="20"/>
              </w:rPr>
              <w:t>7</w:t>
            </w:r>
          </w:p>
        </w:tc>
      </w:tr>
    </w:tbl>
    <w:p>
      <w:pPr>
        <w:spacing w:line="360" w:lineRule="auto"/>
        <w:rPr>
          <w:rFonts w:ascii="仿宋_GB2312" w:hAnsi="Times New Roman" w:eastAsia="仿宋_GB2312" w:cs="Times New Roman"/>
          <w:b/>
          <w:sz w:val="24"/>
          <w:szCs w:val="24"/>
        </w:rPr>
      </w:pPr>
    </w:p>
    <w:p>
      <w:pPr>
        <w:spacing w:line="360" w:lineRule="auto"/>
        <w:ind w:firstLine="560" w:firstLineChars="200"/>
        <w:rPr>
          <w:rFonts w:ascii="Times New Roman" w:hAnsi="Times New Roman" w:eastAsia="黑体" w:cs="Times New Roman"/>
          <w:bCs/>
          <w:sz w:val="28"/>
          <w:szCs w:val="28"/>
        </w:rPr>
      </w:pPr>
      <w:r>
        <w:rPr>
          <w:rFonts w:hint="eastAsia" w:ascii="Times New Roman" w:hAnsi="Times New Roman" w:eastAsia="黑体" w:cs="Times New Roman"/>
          <w:bCs/>
          <w:sz w:val="28"/>
          <w:szCs w:val="28"/>
        </w:rPr>
        <w:t>八、实施保障</w:t>
      </w:r>
    </w:p>
    <w:p>
      <w:pPr>
        <w:spacing w:line="360" w:lineRule="auto"/>
        <w:ind w:firstLine="480" w:firstLineChars="200"/>
        <w:rPr>
          <w:rFonts w:ascii="仿宋_GB2312" w:hAnsi="Times New Roman" w:eastAsia="仿宋_GB2312" w:cs="Times New Roman"/>
          <w:bCs/>
          <w:sz w:val="24"/>
          <w:szCs w:val="24"/>
        </w:rPr>
      </w:pPr>
      <w:r>
        <w:rPr>
          <w:rFonts w:hint="eastAsia" w:ascii="仿宋_GB2312" w:hAnsi="Times New Roman" w:eastAsia="仿宋_GB2312" w:cs="Times New Roman"/>
          <w:bCs/>
          <w:sz w:val="24"/>
          <w:szCs w:val="24"/>
        </w:rPr>
        <w:t>主要包括师资队伍、教学设施、教学资源、教学方法、教学评价、质量管理等方面，以满足培养目标、人才规格的要求，满足教学安排的需要以及学生的多样学习需求，并积极吸收行业企业参与。</w:t>
      </w:r>
    </w:p>
    <w:p>
      <w:pPr>
        <w:spacing w:line="360" w:lineRule="auto"/>
        <w:ind w:left="482"/>
        <w:rPr>
          <w:rFonts w:ascii="仿宋_GB2312" w:eastAsia="仿宋_GB2312"/>
          <w:b/>
          <w:sz w:val="24"/>
        </w:rPr>
      </w:pPr>
      <w:r>
        <w:rPr>
          <w:rFonts w:hint="eastAsia" w:ascii="仿宋_GB2312" w:eastAsia="仿宋_GB2312"/>
          <w:b/>
          <w:sz w:val="24"/>
        </w:rPr>
        <w:t>（一）师资队伍</w:t>
      </w:r>
    </w:p>
    <w:p>
      <w:pPr>
        <w:spacing w:line="360" w:lineRule="auto"/>
        <w:ind w:left="482"/>
        <w:rPr>
          <w:rFonts w:ascii="仿宋_GB2312" w:eastAsia="仿宋_GB2312"/>
          <w:sz w:val="24"/>
        </w:rPr>
      </w:pPr>
      <w:r>
        <w:rPr>
          <w:rFonts w:hint="eastAsia" w:ascii="仿宋_GB2312" w:eastAsia="仿宋_GB2312"/>
          <w:sz w:val="24"/>
        </w:rPr>
        <w:t>1.队伍结构</w:t>
      </w:r>
    </w:p>
    <w:p>
      <w:pPr>
        <w:spacing w:line="360" w:lineRule="auto"/>
        <w:ind w:left="482"/>
        <w:rPr>
          <w:rFonts w:ascii="仿宋_GB2312" w:eastAsia="仿宋_GB2312"/>
          <w:bCs/>
          <w:sz w:val="24"/>
        </w:rPr>
      </w:pPr>
      <w:r>
        <w:rPr>
          <w:rFonts w:ascii="仿宋_GB2312" w:eastAsia="仿宋_GB2312"/>
          <w:bCs/>
          <w:sz w:val="24"/>
        </w:rPr>
        <w:t>学生数与本专业专任教师比例</w:t>
      </w:r>
      <w:r>
        <w:rPr>
          <w:rFonts w:hint="eastAsia" w:ascii="仿宋_GB2312" w:eastAsia="仿宋_GB2312"/>
          <w:bCs/>
          <w:sz w:val="24"/>
        </w:rPr>
        <w:t>、双师型教师占专业教师比例达到国家规定要求。专任教师队伍职称、年龄，形成合理的梯队结构。</w:t>
      </w:r>
    </w:p>
    <w:p>
      <w:pPr>
        <w:spacing w:line="360" w:lineRule="auto"/>
        <w:ind w:left="482"/>
        <w:rPr>
          <w:rFonts w:ascii="仿宋_GB2312" w:eastAsia="仿宋_GB2312"/>
          <w:bCs/>
          <w:sz w:val="24"/>
        </w:rPr>
      </w:pPr>
      <w:r>
        <w:rPr>
          <w:rFonts w:hint="eastAsia" w:ascii="仿宋_GB2312" w:eastAsia="仿宋_GB2312"/>
          <w:bCs/>
          <w:sz w:val="24"/>
        </w:rPr>
        <w:t>2.专任教师</w:t>
      </w:r>
    </w:p>
    <w:p>
      <w:pPr>
        <w:spacing w:line="360" w:lineRule="auto"/>
        <w:ind w:left="482"/>
        <w:rPr>
          <w:rFonts w:ascii="仿宋_GB2312" w:eastAsia="仿宋_GB2312"/>
          <w:bCs/>
          <w:sz w:val="24"/>
        </w:rPr>
      </w:pPr>
      <w:r>
        <w:rPr>
          <w:rFonts w:hint="eastAsia" w:ascii="仿宋_GB2312" w:eastAsia="仿宋_GB2312"/>
          <w:bCs/>
          <w:sz w:val="24"/>
        </w:rPr>
        <w:t>专任教师具有高校教师资格和本专业职业资格或技能等级证书；有理想信念、有道德情操、有扎实学识、有仁爱之心；具有金融学、计算机 、统计学等相关专业本科及以上学历，学校有计划安排教师到企业进行实践和锻炼。</w:t>
      </w:r>
    </w:p>
    <w:p>
      <w:pPr>
        <w:spacing w:line="360" w:lineRule="auto"/>
        <w:ind w:left="482"/>
        <w:rPr>
          <w:rFonts w:ascii="仿宋_GB2312" w:eastAsia="仿宋_GB2312"/>
          <w:bCs/>
          <w:sz w:val="24"/>
        </w:rPr>
      </w:pPr>
      <w:r>
        <w:rPr>
          <w:rFonts w:hint="eastAsia" w:ascii="仿宋_GB2312" w:eastAsia="仿宋_GB2312"/>
          <w:bCs/>
          <w:sz w:val="24"/>
        </w:rPr>
        <w:t>3.兼职教师</w:t>
      </w:r>
    </w:p>
    <w:p>
      <w:pPr>
        <w:spacing w:line="360" w:lineRule="auto"/>
        <w:ind w:left="482"/>
        <w:rPr>
          <w:rFonts w:ascii="仿宋_GB2312" w:eastAsia="仿宋_GB2312"/>
          <w:bCs/>
          <w:sz w:val="24"/>
        </w:rPr>
      </w:pPr>
      <w:r>
        <w:rPr>
          <w:rFonts w:hint="eastAsia" w:ascii="仿宋_GB2312" w:eastAsia="仿宋_GB2312"/>
          <w:bCs/>
          <w:sz w:val="24"/>
        </w:rPr>
        <w:t>主要从本专业相关的行业企业聘任，具备良好的思想政治素质，职业道德和工匠精神，具有扎实的专业知识和丰富的实际工作经验，具有中级及以上相关的专业职称。</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（二）教学设施</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硬件设备：配备有多间多媒体教室，所有多媒体教室均配置有可连入Internet网的教师用机、多媒体投影机、扩音器等先进设备，平均每间教室有60个座位，可充分满足各类型学生教学的需要。</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软件设施：生活方面，学校配备有温馨的学生宿舍、食堂，打造后勤社会化，校园建设将学生融入社会，打造生活商业小区方便同学们的生活和学习；学习方面，学校教学环境优美，教学设施中的金融软件设施，配备齐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校内实训室：</w:t>
      </w:r>
    </w:p>
    <w:p>
      <w:pPr>
        <w:pStyle w:val="120"/>
        <w:numPr>
          <w:ilvl w:val="0"/>
          <w:numId w:val="3"/>
        </w:numPr>
        <w:spacing w:line="360" w:lineRule="auto"/>
        <w:ind w:firstLineChars="0"/>
        <w:rPr>
          <w:rFonts w:ascii="仿宋_GB2312" w:eastAsia="仿宋_GB2312"/>
          <w:bCs/>
          <w:iCs/>
          <w:sz w:val="24"/>
        </w:rPr>
      </w:pPr>
      <w:r>
        <w:rPr>
          <w:rFonts w:hint="eastAsia" w:ascii="仿宋_GB2312" w:eastAsia="仿宋_GB2312"/>
          <w:bCs/>
          <w:iCs/>
          <w:sz w:val="24"/>
        </w:rPr>
        <w:t>互联网技术实验室</w:t>
      </w:r>
    </w:p>
    <w:p>
      <w:pPr>
        <w:spacing w:line="360" w:lineRule="auto"/>
        <w:ind w:left="480"/>
        <w:rPr>
          <w:rFonts w:ascii="仿宋_GB2312" w:eastAsia="仿宋_GB2312"/>
          <w:bCs/>
          <w:iCs/>
          <w:sz w:val="24"/>
        </w:rPr>
      </w:pPr>
      <w:r>
        <w:rPr>
          <w:rFonts w:hint="eastAsia" w:ascii="仿宋_GB2312" w:eastAsia="仿宋_GB2312"/>
          <w:bCs/>
          <w:iCs/>
          <w:sz w:val="24"/>
        </w:rPr>
        <w:t>互联网技术实训室配备服务器、投影设备、白板、计算机（1台/人），WI-FI覆盖，具备开发环境和开发工具、网页设计工具、产品原型设计工具等；支持信息技术、计算机程序设计等课程的教学与实训。</w:t>
      </w:r>
    </w:p>
    <w:p>
      <w:pPr>
        <w:pStyle w:val="120"/>
        <w:numPr>
          <w:ilvl w:val="0"/>
          <w:numId w:val="3"/>
        </w:numPr>
        <w:spacing w:line="360" w:lineRule="auto"/>
        <w:ind w:firstLineChars="0"/>
        <w:rPr>
          <w:rFonts w:ascii="仿宋_GB2312" w:eastAsia="仿宋_GB2312"/>
          <w:bCs/>
          <w:iCs/>
          <w:sz w:val="24"/>
        </w:rPr>
      </w:pPr>
      <w:r>
        <w:rPr>
          <w:rFonts w:ascii="仿宋_GB2312" w:eastAsia="仿宋_GB2312"/>
          <w:bCs/>
          <w:iCs/>
          <w:sz w:val="24"/>
        </w:rPr>
        <w:t>互联网金融综合实训室</w:t>
      </w:r>
    </w:p>
    <w:p>
      <w:pPr>
        <w:spacing w:line="360" w:lineRule="auto"/>
        <w:ind w:left="480"/>
        <w:rPr>
          <w:rFonts w:ascii="仿宋_GB2312" w:eastAsia="仿宋_GB2312"/>
          <w:bCs/>
          <w:iCs/>
          <w:sz w:val="24"/>
        </w:rPr>
      </w:pPr>
      <w:r>
        <w:rPr>
          <w:rFonts w:hint="eastAsia" w:ascii="仿宋_GB2312" w:eastAsia="仿宋_GB2312"/>
          <w:bCs/>
          <w:iCs/>
          <w:sz w:val="24"/>
        </w:rPr>
        <w:t>互联网金融综合室配备服务器、投影设备、白板、计算机（1台/人），WI-FI覆盖，提供互联网金融典型业态实训操作软件、教师端和学生端3个端口，每人有一个账户，虚拟的时间、虚拟的货币、可动态的设定业务周期，达到虚拟仿真的效果；同时支持互联网金融概述、互联网金融支付等课程的教学与实训。</w:t>
      </w:r>
    </w:p>
    <w:p>
      <w:pPr>
        <w:pStyle w:val="120"/>
        <w:numPr>
          <w:ilvl w:val="0"/>
          <w:numId w:val="3"/>
        </w:numPr>
        <w:spacing w:line="360" w:lineRule="auto"/>
        <w:ind w:firstLineChars="0"/>
        <w:rPr>
          <w:rFonts w:ascii="仿宋_GB2312" w:eastAsia="仿宋_GB2312"/>
          <w:bCs/>
          <w:iCs/>
          <w:sz w:val="24"/>
        </w:rPr>
      </w:pPr>
      <w:r>
        <w:rPr>
          <w:rFonts w:hint="eastAsia" w:ascii="仿宋_GB2312" w:eastAsia="仿宋_GB2312"/>
          <w:bCs/>
          <w:iCs/>
          <w:sz w:val="24"/>
        </w:rPr>
        <w:t>互联网金融的创新创业实训室</w:t>
      </w:r>
    </w:p>
    <w:p>
      <w:pPr>
        <w:spacing w:line="360" w:lineRule="auto"/>
        <w:ind w:left="480"/>
        <w:rPr>
          <w:rFonts w:ascii="仿宋_GB2312" w:eastAsia="仿宋_GB2312"/>
          <w:bCs/>
          <w:iCs/>
          <w:sz w:val="24"/>
        </w:rPr>
      </w:pPr>
      <w:r>
        <w:rPr>
          <w:rFonts w:hint="eastAsia" w:ascii="仿宋_GB2312" w:eastAsia="仿宋_GB2312"/>
          <w:bCs/>
          <w:iCs/>
          <w:sz w:val="24"/>
        </w:rPr>
        <w:t>该实验室配备服务器、投影设备、白板、计算机（1台/人），WI-FI覆盖，讨论式桌椅，以营造互联网金融职场的场景氛围，学生通过扮演不同的角色，完成对应课程的教学与实训，有条件地进行项目路演，激发学生的创新思维和培养学生的创业能力，支持创新创业类课程的教学与实训。</w:t>
      </w:r>
    </w:p>
    <w:p>
      <w:pPr>
        <w:spacing w:line="360" w:lineRule="auto"/>
        <w:ind w:left="480"/>
        <w:rPr>
          <w:rFonts w:ascii="仿宋_GB2312" w:eastAsia="仿宋_GB2312"/>
          <w:bCs/>
          <w:iCs/>
          <w:sz w:val="24"/>
        </w:rPr>
      </w:pPr>
      <w:r>
        <w:rPr>
          <w:rFonts w:hint="eastAsia" w:ascii="仿宋_GB2312" w:eastAsia="仿宋_GB2312"/>
          <w:bCs/>
          <w:iCs/>
          <w:sz w:val="24"/>
        </w:rPr>
        <w:t>校外实习基地：</w:t>
      </w:r>
    </w:p>
    <w:p>
      <w:pPr>
        <w:spacing w:line="360" w:lineRule="auto"/>
        <w:ind w:left="480"/>
        <w:rPr>
          <w:rFonts w:ascii="仿宋_GB2312" w:eastAsia="仿宋_GB2312"/>
          <w:bCs/>
          <w:iCs/>
          <w:sz w:val="24"/>
        </w:rPr>
      </w:pPr>
      <w:r>
        <w:rPr>
          <w:rFonts w:hint="eastAsia" w:ascii="仿宋_GB2312" w:eastAsia="仿宋_GB2312"/>
          <w:bCs/>
          <w:iCs/>
          <w:sz w:val="24"/>
        </w:rPr>
        <w:t>开辟具有稳定的校外实习基地，能够开展互联网金融营销推广，互联网金融运营、互联网金融网页设计等实训活动，同时，实习基地设施设备齐全，以及相关的实施规章制度齐全，可接纳一定规模的学生实习，能够提供风险控制、技术运营、客户维护及客户服务等相关实习岗位。</w:t>
      </w:r>
    </w:p>
    <w:p>
      <w:pPr>
        <w:spacing w:line="360" w:lineRule="auto"/>
        <w:ind w:left="480"/>
        <w:rPr>
          <w:rFonts w:ascii="仿宋_GB2312" w:eastAsia="仿宋_GB2312"/>
          <w:bCs/>
          <w:iCs/>
          <w:sz w:val="24"/>
        </w:rPr>
      </w:pPr>
      <w:r>
        <w:rPr>
          <w:rFonts w:hint="eastAsia" w:ascii="仿宋_GB2312" w:eastAsia="仿宋_GB2312"/>
          <w:bCs/>
          <w:iCs/>
          <w:sz w:val="24"/>
        </w:rPr>
        <w:t>支持信息化教学方面的基本要求：</w:t>
      </w:r>
    </w:p>
    <w:p>
      <w:pPr>
        <w:spacing w:line="360" w:lineRule="auto"/>
        <w:ind w:left="480"/>
        <w:rPr>
          <w:rFonts w:ascii="仿宋_GB2312" w:eastAsia="仿宋_GB2312"/>
          <w:bCs/>
          <w:iCs/>
          <w:sz w:val="24"/>
        </w:rPr>
      </w:pPr>
      <w:r>
        <w:rPr>
          <w:rFonts w:hint="eastAsia" w:ascii="仿宋_GB2312" w:eastAsia="仿宋_GB2312"/>
          <w:bCs/>
          <w:iCs/>
          <w:sz w:val="24"/>
        </w:rPr>
        <w:t>支持信息化教学方面的基本要求为：具有可利用的数字化教学资源库、文献资料、常见问题的解答等信息化条件；鼓励教师开发并利用信息化教学资源、教学平台、创新教学方法，引导学生利用信息化教学条件自主学习，提升教学效果。</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（三）教学资源</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1.教学管理方面</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目前学校与多所国外大学合作办学，使用英国工商管理协会（ABE）全球认证教材，实行特色小班办学，分层次教学和双语教学。同时，为进一步拓宽国际合作办学渠道，充分发挥国际化办学优势，拓展特色办学途径，学院与众多海外的大学开展合作办学和举办国际文化交流会。目前，学院已与英、美、加、泰、韩国及香港等地的多所名校合作办学，如美国迪恩学院、英国利兹三一大学、泰国商会大学、越南河内大学、马来西亚吉隆坡建设大学、香港公开大学等。</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2.教材选用基本要求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按照国家规定选用优质教材，禁止不合格的教材进入课堂。专业已建立专业教师、行业专家和教研人员等参与的教材选用机构，完善教材选用制度，经过规范程序择优选用教材。</w:t>
      </w:r>
    </w:p>
    <w:p>
      <w:pPr>
        <w:spacing w:line="360" w:lineRule="auto"/>
        <w:ind w:firstLine="482" w:firstLineChars="200"/>
        <w:rPr>
          <w:rFonts w:ascii="仿宋_GB2312" w:hAnsi="Times New Roman" w:eastAsia="仿宋_GB2312" w:cs="Times New Roman"/>
          <w:b/>
          <w:sz w:val="24"/>
          <w:szCs w:val="24"/>
        </w:rPr>
      </w:pPr>
      <w:r>
        <w:rPr>
          <w:rFonts w:hint="eastAsia" w:ascii="仿宋_GB2312" w:hAnsi="Times New Roman" w:eastAsia="仿宋_GB2312" w:cs="Times New Roman"/>
          <w:b/>
          <w:sz w:val="24"/>
          <w:szCs w:val="24"/>
        </w:rPr>
        <w:t>（四）教学方法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（一）教学手段与方法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（1）讲授法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讲授法是教师通过简明、生动的口头语言向学生传授知识、发展学生智力的方法。它是通过叙述、描绘、解释、推论来传递信息、传授知识、阐明概念、论证定律和公式，引导学生分析和认识问题，让学生在较短时间内获得大量系统的科学知识。</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（2）讨论法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在教师的指导下，学生以全班或小组为单位，围绕教材的中心问题，各抒己见，通过讨论或辩论活动，获得知识或巩固知识的一种教学方法。由于全体学生都参加活动，可以培养合作精神，激发学生的学习兴趣，提高学生学习的独立性。</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（3）直观演示法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演示法是教师在课堂上通过展示各种实物、直观教具或进行示范性实验，让学生通过观察获得感性认识的教学方法。是一种辅助性教学方法，要和讲授法、谈话法等教学方法结合使用。运用演示法的基本要求是：</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（4） 练习法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练习法是学生在教师的指导下巩固知识、运用知识、形成技能技巧的方法。在教学中，练习法被各科教学广泛采用。</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（5）读书指导法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读书指导法是教师指导学生通过阅读教科书或参考书，以获得知识、巩固知识、培养学生自学能力的一种方法。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（二）教学组织形式</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1.个别教学。</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个别教学就是教师在同一时间以特定内容面向一个或几个学生进行教学。这种教学组织形式办学规模小、速度慢、效率低，但却能较好地适应个别差异。</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2.班级授课。</w:t>
      </w:r>
    </w:p>
    <w:p>
      <w:pPr>
        <w:spacing w:line="360" w:lineRule="auto"/>
        <w:ind w:firstLine="360" w:firstLineChars="15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把一定数量的学生按掌握基础知识程度编成固定的班级，根据周课表和作息时间表安排教师有计划地向全班学生集体进行教学的制度。</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 xml:space="preserve"> 3.特朗普制。</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大班上课、小班讨论、个人自学结合在一起，以灵活的时间单位代替固定统一的上课时间。</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（五）教学评价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（一）理论课程考核方法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理论课程的考核倾向在传统的笔试的基础之上制定多样性、针对性、生动性的方式。采取笔试、小论文、参加社会实践与社会调查的形式；同时结合过程考核的方法，教师建立考核表，在教学活动中观察和记录学生徐熙媛和日常行为表现，通过面谈、作业、项目训练，书面报告的方式综合考查和评价学生，根据本专业的特点，辅以“课业+笔记+活动”、“课业+案例分析”、“课业+口试+作品”的方式。课程考核成绩由多种考核形式的成绩构成，包括期末考试成绩、平时作业成绩与课堂讨论、作业完成情况。</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（二）实践课程考核方法</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实践课程包括课内实践、上机操作、方案设计、社会调查等多种课程，应当采取形成性考核与总结性考核相结合。</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形成性考核即对学生在实践教学过程中进行考核，学生必须完成课程的全部实践项目，该实践课程的总成绩取决于各个实践项目的分数。</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总结性考核即对学生在课程结束时的考核，要求学生在统一的时间内完成实践考核项目。主要考核学生的职业技能实践能力。</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（三）学生素质评价</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基于对学生科学精神、人文精神、协作精神、创新精神和实践能力的培养，需要去通过学生在学校各项活动中的表现做出综合性评价，主要有学校管理部门和辅导员进行评价并记入档案。</w:t>
      </w:r>
    </w:p>
    <w:p>
      <w:pPr>
        <w:spacing w:line="360" w:lineRule="auto"/>
        <w:ind w:firstLine="482" w:firstLineChars="200"/>
        <w:rPr>
          <w:rFonts w:ascii="仿宋_GB2312" w:hAnsi="Times New Roman" w:eastAsia="仿宋_GB2312" w:cs="Times New Roman"/>
          <w:bCs/>
          <w:sz w:val="24"/>
          <w:szCs w:val="24"/>
        </w:rPr>
      </w:pPr>
      <w:r>
        <w:rPr>
          <w:rFonts w:hint="eastAsia" w:ascii="仿宋_GB2312" w:hAnsi="Times New Roman" w:eastAsia="仿宋_GB2312" w:cs="Times New Roman"/>
          <w:b/>
          <w:sz w:val="24"/>
          <w:szCs w:val="24"/>
        </w:rPr>
        <w:t>（六）质量管理</w:t>
      </w:r>
    </w:p>
    <w:p>
      <w:pPr>
        <w:widowControl/>
        <w:spacing w:line="450" w:lineRule="atLeast"/>
        <w:ind w:firstLine="645"/>
        <w:jc w:val="left"/>
        <w:rPr>
          <w:rFonts w:eastAsia="仿宋_GB2312" w:cs="Times New Roman"/>
          <w:bCs/>
          <w:iCs/>
          <w:sz w:val="24"/>
          <w:szCs w:val="24"/>
        </w:rPr>
      </w:pPr>
      <w:r>
        <w:rPr>
          <w:rFonts w:hint="eastAsia" w:ascii="仿宋_GB2312" w:hAnsi="Times New Roman" w:eastAsia="仿宋_GB2312" w:cs="Times New Roman"/>
          <w:bCs/>
          <w:iCs/>
          <w:sz w:val="24"/>
          <w:szCs w:val="24"/>
        </w:rPr>
        <w:t>（1）学校已经和院系建立专业建设和教学质量诊断与改进机制，健全专业教学质量监控管理制度，通过教学设施、学生上课过程的监控、质量的评价和持续的改进，最终达成人才培养规格。</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（2）全员性。互联网金融专业教研组在课余时间积极讨论，充分利用分析结果改进专业教学，持续提高人才培养质量。</w:t>
      </w:r>
    </w:p>
    <w:p>
      <w:pPr>
        <w:widowControl/>
        <w:spacing w:line="450" w:lineRule="atLeast"/>
        <w:ind w:firstLine="645"/>
        <w:jc w:val="left"/>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（3）规范性。已建立毕业生跟踪反馈机制及社会评价机制，对生源情况、在校生学业水平、毕业生就业情况进行分析，定期评价人才的培养质量。</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九、毕业要求</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（一）通过英语B级考试；</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（二）通过2门香港公开大学课程；</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（三）通过10门ABE校考；</w:t>
      </w:r>
    </w:p>
    <w:p>
      <w:pPr>
        <w:spacing w:line="360" w:lineRule="auto"/>
        <w:ind w:firstLine="480" w:firstLineChars="200"/>
        <w:rPr>
          <w:rFonts w:ascii="仿宋_GB2312" w:hAnsi="Times New Roman" w:eastAsia="仿宋_GB2312" w:cs="Times New Roman"/>
          <w:bCs/>
          <w:iCs/>
          <w:color w:val="000000" w:themeColor="text1"/>
          <w:sz w:val="24"/>
          <w:szCs w:val="24"/>
        </w:rPr>
      </w:pPr>
      <w:r>
        <w:rPr>
          <w:rFonts w:hint="eastAsia" w:ascii="仿宋_GB2312" w:hAnsi="Times New Roman" w:eastAsia="仿宋_GB2312" w:cs="Times New Roman"/>
          <w:bCs/>
          <w:iCs/>
          <w:color w:val="000000" w:themeColor="text1"/>
          <w:sz w:val="24"/>
          <w:szCs w:val="24"/>
        </w:rPr>
        <w:t>（四）修够130个学分。</w:t>
      </w:r>
    </w:p>
    <w:p>
      <w:pPr>
        <w:spacing w:line="360" w:lineRule="auto"/>
        <w:ind w:firstLine="480" w:firstLineChars="200"/>
        <w:rPr>
          <w:rFonts w:ascii="仿宋_GB2312" w:hAnsi="Times New Roman" w:eastAsia="仿宋_GB2312" w:cs="Times New Roman"/>
          <w:bCs/>
          <w:iCs/>
          <w:sz w:val="24"/>
          <w:szCs w:val="24"/>
        </w:rPr>
      </w:pPr>
      <w:r>
        <w:rPr>
          <w:rFonts w:hint="eastAsia" w:ascii="仿宋_GB2312" w:hAnsi="Times New Roman" w:eastAsia="仿宋_GB2312" w:cs="Times New Roman"/>
          <w:bCs/>
          <w:iCs/>
          <w:sz w:val="24"/>
          <w:szCs w:val="24"/>
        </w:rPr>
        <w:t>毕业要求是学生通过规定年限的学习，修满专业人才培养方案所规定的学分，达到本专业人才培养目标和培养规格的要求。鼓励应运用大数据等信息化手段记录、分析学生成长记录档案、职业素养达标等方面的内容，纳入综合素质考核，并将考核情况作为是否准予毕业的重要依据。</w:t>
      </w:r>
    </w:p>
    <w:p>
      <w:pPr>
        <w:widowControl/>
        <w:spacing w:line="450" w:lineRule="atLeast"/>
        <w:ind w:firstLine="645"/>
        <w:jc w:val="left"/>
        <w:rPr>
          <w:rFonts w:ascii="Times New Roman" w:hAnsi="Times New Roman" w:eastAsia="黑体" w:cs="Times New Roman"/>
          <w:bCs/>
          <w:sz w:val="28"/>
          <w:szCs w:val="28"/>
        </w:rPr>
      </w:pPr>
      <w:r>
        <w:rPr>
          <w:rFonts w:hint="eastAsia" w:ascii="Times New Roman" w:hAnsi="Times New Roman" w:eastAsia="黑体" w:cs="Times New Roman"/>
          <w:bCs/>
          <w:sz w:val="28"/>
          <w:szCs w:val="28"/>
        </w:rPr>
        <w:t>十、附录</w:t>
      </w:r>
    </w:p>
    <w:p>
      <w:pPr>
        <w:widowControl/>
        <w:spacing w:line="360" w:lineRule="auto"/>
        <w:jc w:val="left"/>
        <w:rPr>
          <w:b/>
          <w:bCs/>
          <w:szCs w:val="21"/>
        </w:rPr>
        <w:sectPr>
          <w:pgSz w:w="11906" w:h="16838"/>
          <w:pgMar w:top="1418" w:right="1418" w:bottom="1418" w:left="1418" w:header="851" w:footer="992" w:gutter="0"/>
          <w:cols w:space="720" w:num="1"/>
          <w:docGrid w:linePitch="312" w:charSpace="0"/>
        </w:sectPr>
      </w:pPr>
    </w:p>
    <w:p>
      <w:pPr>
        <w:jc w:val="center"/>
        <w:rPr>
          <w:b/>
          <w:sz w:val="36"/>
          <w:szCs w:val="36"/>
        </w:rPr>
      </w:pPr>
      <w:r>
        <w:rPr>
          <w:rFonts w:hint="eastAsia"/>
          <w:b/>
          <w:sz w:val="36"/>
          <w:szCs w:val="36"/>
        </w:rPr>
        <w:t>人才培养方案制订审批表</w:t>
      </w:r>
    </w:p>
    <w:p>
      <w:pPr>
        <w:rPr>
          <w:b/>
          <w:sz w:val="30"/>
          <w:szCs w:val="30"/>
        </w:rPr>
      </w:pPr>
      <w:r>
        <w:rPr>
          <w:rFonts w:hint="eastAsia"/>
          <w:b/>
          <w:sz w:val="30"/>
          <w:szCs w:val="30"/>
        </w:rPr>
        <w:t>分院（部）：</w:t>
      </w:r>
    </w:p>
    <w:tbl>
      <w:tblPr>
        <w:tblStyle w:val="26"/>
        <w:tblW w:w="10206"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3149"/>
        <w:gridCol w:w="1360"/>
        <w:gridCol w:w="4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年级</w:t>
            </w:r>
          </w:p>
        </w:tc>
        <w:tc>
          <w:tcPr>
            <w:tcW w:w="3149"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c>
          <w:tcPr>
            <w:tcW w:w="1360"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专业名称</w:t>
            </w:r>
          </w:p>
        </w:tc>
        <w:tc>
          <w:tcPr>
            <w:tcW w:w="4421" w:type="dxa"/>
            <w:tcBorders>
              <w:top w:val="single" w:color="auto" w:sz="4" w:space="0"/>
              <w:left w:val="single" w:color="auto" w:sz="4" w:space="0"/>
              <w:bottom w:val="single" w:color="auto" w:sz="4" w:space="0"/>
              <w:right w:val="single" w:color="auto" w:sz="4" w:space="0"/>
            </w:tcBorders>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培养方案</w:t>
            </w:r>
          </w:p>
          <w:p>
            <w:pPr>
              <w:jc w:val="center"/>
              <w:rPr>
                <w:b/>
                <w:sz w:val="24"/>
                <w:szCs w:val="24"/>
              </w:rPr>
            </w:pPr>
            <w:r>
              <w:rPr>
                <w:rFonts w:hint="eastAsia"/>
                <w:b/>
                <w:sz w:val="24"/>
              </w:rPr>
              <w:t>制订情况</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jc w:val="right"/>
              <w:rPr>
                <w:rFonts w:ascii="楷体" w:hAnsi="楷体" w:eastAsia="楷体" w:cs="楷体"/>
                <w:sz w:val="24"/>
              </w:rPr>
            </w:pPr>
          </w:p>
          <w:p>
            <w:pPr>
              <w:ind w:right="960"/>
              <w:rPr>
                <w:rFonts w:ascii="楷体" w:hAnsi="楷体" w:eastAsia="楷体" w:cs="楷体"/>
                <w:sz w:val="24"/>
              </w:rPr>
            </w:pPr>
          </w:p>
          <w:p>
            <w:pPr>
              <w:ind w:firstLine="5760" w:firstLineChars="2400"/>
              <w:jc w:val="right"/>
              <w:rPr>
                <w:rFonts w:ascii="楷体" w:hAnsi="楷体" w:eastAsia="楷体" w:cs="楷体"/>
                <w:sz w:val="24"/>
              </w:rPr>
            </w:pPr>
          </w:p>
          <w:p>
            <w:pPr>
              <w:ind w:firstLine="5760" w:firstLineChars="2400"/>
              <w:jc w:val="right"/>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p>
          <w:p>
            <w:pPr>
              <w:ind w:right="960" w:firstLine="5760" w:firstLineChars="2400"/>
              <w:rPr>
                <w:rFonts w:ascii="楷体" w:hAnsi="楷体" w:eastAsia="楷体" w:cs="楷体"/>
                <w:sz w:val="24"/>
              </w:rPr>
            </w:pPr>
            <w:r>
              <w:rPr>
                <w:rFonts w:hint="eastAsia" w:ascii="楷体" w:hAnsi="楷体" w:eastAsia="楷体" w:cs="楷体"/>
                <w:sz w:val="24"/>
              </w:rPr>
              <w:t xml:space="preserve">签字：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教研室意见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签字：</w:t>
            </w:r>
          </w:p>
          <w:p>
            <w:pPr>
              <w:ind w:firstLine="5760" w:firstLineChars="2400"/>
              <w:jc w:val="right"/>
              <w:rPr>
                <w:rFonts w:ascii="楷体" w:hAnsi="楷体" w:eastAsia="楷体" w:cs="楷体"/>
                <w:sz w:val="24"/>
              </w:rPr>
            </w:pPr>
            <w:r>
              <w:rPr>
                <w:rFonts w:hint="eastAsia" w:ascii="楷体" w:hAnsi="楷体" w:eastAsia="楷体" w:cs="楷体"/>
                <w:sz w:val="24"/>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3"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szCs w:val="24"/>
              </w:rPr>
            </w:pPr>
            <w:r>
              <w:rPr>
                <w:rFonts w:hint="eastAsia"/>
                <w:b/>
                <w:sz w:val="24"/>
              </w:rPr>
              <w:t>分院意见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760" w:firstLineChars="2400"/>
              <w:rPr>
                <w:rFonts w:ascii="楷体" w:hAnsi="楷体" w:eastAsia="楷体" w:cs="楷体"/>
                <w:sz w:val="24"/>
              </w:rPr>
            </w:pPr>
          </w:p>
          <w:p>
            <w:pPr>
              <w:ind w:firstLine="5760" w:firstLineChars="24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left="5760" w:leftChars="2400" w:hanging="720" w:hangingChars="300"/>
              <w:rPr>
                <w:rFonts w:ascii="楷体" w:hAnsi="楷体" w:eastAsia="楷体" w:cs="楷体"/>
                <w:sz w:val="24"/>
              </w:rPr>
            </w:pPr>
            <w:r>
              <w:rPr>
                <w:rFonts w:hint="eastAsia" w:ascii="楷体" w:hAnsi="楷体" w:eastAsia="楷体" w:cs="楷体"/>
                <w:sz w:val="24"/>
              </w:rPr>
              <w:t xml:space="preserve">签字（盖章）：          </w:t>
            </w:r>
          </w:p>
          <w:p>
            <w:pPr>
              <w:ind w:firstLine="5760" w:firstLineChars="2400"/>
              <w:jc w:val="right"/>
              <w:rPr>
                <w:rFonts w:ascii="楷体" w:hAnsi="楷体" w:eastAsia="楷体" w:cs="楷体"/>
                <w:sz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sz w:val="24"/>
              </w:rPr>
            </w:pPr>
            <w:r>
              <w:rPr>
                <w:rFonts w:hint="eastAsia"/>
                <w:b/>
                <w:sz w:val="24"/>
              </w:rPr>
              <w:t>归属</w:t>
            </w:r>
          </w:p>
          <w:p>
            <w:pPr>
              <w:jc w:val="center"/>
              <w:rPr>
                <w:b/>
                <w:sz w:val="24"/>
              </w:rPr>
            </w:pPr>
            <w:r>
              <w:rPr>
                <w:rFonts w:hint="eastAsia"/>
                <w:b/>
                <w:sz w:val="24"/>
              </w:rPr>
              <w:t>校领导</w:t>
            </w:r>
          </w:p>
          <w:p>
            <w:pPr>
              <w:jc w:val="center"/>
              <w:rPr>
                <w:b/>
                <w:sz w:val="24"/>
              </w:rPr>
            </w:pPr>
            <w:r>
              <w:rPr>
                <w:rFonts w:hint="eastAsia"/>
                <w:b/>
                <w:sz w:val="24"/>
              </w:rPr>
              <w:t>意见</w:t>
            </w:r>
          </w:p>
        </w:tc>
        <w:tc>
          <w:tcPr>
            <w:tcW w:w="8930" w:type="dxa"/>
            <w:gridSpan w:val="3"/>
            <w:tcBorders>
              <w:top w:val="single" w:color="auto" w:sz="4" w:space="0"/>
              <w:left w:val="single" w:color="auto" w:sz="4" w:space="0"/>
              <w:bottom w:val="single" w:color="auto" w:sz="4" w:space="0"/>
              <w:right w:val="single" w:color="auto" w:sz="4" w:space="0"/>
            </w:tcBorders>
          </w:tcPr>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ind w:firstLine="5280" w:firstLineChars="2200"/>
              <w:rPr>
                <w:rFonts w:ascii="楷体" w:hAnsi="楷体" w:eastAsia="楷体" w:cs="楷体"/>
                <w:sz w:val="24"/>
              </w:rPr>
            </w:pPr>
          </w:p>
          <w:p>
            <w:pPr>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p>
          <w:p>
            <w:pPr>
              <w:ind w:firstLine="5760" w:firstLineChars="2400"/>
              <w:rPr>
                <w:rFonts w:ascii="楷体" w:hAnsi="楷体" w:eastAsia="楷体" w:cs="楷体"/>
                <w:sz w:val="24"/>
              </w:rPr>
            </w:pPr>
            <w:r>
              <w:rPr>
                <w:rFonts w:hint="eastAsia" w:ascii="楷体" w:hAnsi="楷体" w:eastAsia="楷体" w:cs="楷体"/>
                <w:sz w:val="24"/>
              </w:rPr>
              <w:t xml:space="preserve">签字：          </w:t>
            </w:r>
          </w:p>
          <w:p>
            <w:pPr>
              <w:rPr>
                <w:sz w:val="24"/>
                <w:szCs w:val="24"/>
              </w:rPr>
            </w:pPr>
            <w:r>
              <w:rPr>
                <w:rFonts w:hint="eastAsia" w:ascii="楷体" w:hAnsi="楷体" w:eastAsia="楷体" w:cs="楷体"/>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2" w:hRule="atLeast"/>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b/>
              </w:rPr>
            </w:pPr>
            <w:r>
              <w:rPr>
                <w:b/>
              </w:rPr>
              <w:t>教务处</w:t>
            </w:r>
          </w:p>
          <w:p>
            <w:pPr>
              <w:jc w:val="center"/>
              <w:rPr>
                <w:b/>
                <w:sz w:val="24"/>
              </w:rPr>
            </w:pPr>
            <w:r>
              <w:rPr>
                <w:rFonts w:hint="eastAsia"/>
                <w:b/>
              </w:rPr>
              <w:t>意见</w:t>
            </w:r>
          </w:p>
        </w:tc>
        <w:tc>
          <w:tcPr>
            <w:tcW w:w="8930" w:type="dxa"/>
            <w:gridSpan w:val="3"/>
            <w:tcBorders>
              <w:top w:val="single" w:color="auto" w:sz="4" w:space="0"/>
              <w:left w:val="single" w:color="auto" w:sz="4" w:space="0"/>
              <w:bottom w:val="single" w:color="auto" w:sz="4" w:space="0"/>
              <w:right w:val="single" w:color="auto" w:sz="4" w:space="0"/>
            </w:tcBorders>
          </w:tcPr>
          <w:p>
            <w:pPr>
              <w:jc w:val="left"/>
              <w:rPr>
                <w:rFonts w:ascii="楷体" w:hAnsi="楷体" w:eastAsia="楷体" w:cs="楷体"/>
                <w:b/>
                <w:sz w:val="24"/>
              </w:rPr>
            </w:pPr>
            <w:r>
              <w:rPr>
                <w:rFonts w:hint="eastAsia" w:ascii="楷体" w:hAnsi="楷体" w:eastAsia="楷体" w:cs="楷体"/>
                <w:b/>
                <w:sz w:val="24"/>
              </w:rPr>
              <w:t>意见</w:t>
            </w:r>
            <w:r>
              <w:rPr>
                <w:rFonts w:ascii="楷体" w:hAnsi="楷体" w:eastAsia="楷体" w:cs="楷体"/>
                <w:b/>
                <w:sz w:val="24"/>
              </w:rPr>
              <w:t>：</w:t>
            </w:r>
          </w:p>
          <w:p>
            <w:pPr>
              <w:ind w:firstLine="480" w:firstLineChars="200"/>
              <w:jc w:val="left"/>
              <w:rPr>
                <w:rFonts w:ascii="楷体" w:hAnsi="楷体" w:eastAsia="楷体" w:cs="楷体"/>
                <w:sz w:val="24"/>
              </w:rPr>
            </w:pPr>
            <w:r>
              <w:rPr>
                <w:rFonts w:ascii="楷体" w:hAnsi="楷体" w:eastAsia="楷体" w:cs="楷体"/>
                <w:sz w:val="24"/>
              </w:rPr>
              <w:t>同意年级专业的人才培养方案从年月日起用。</w:t>
            </w:r>
          </w:p>
          <w:p>
            <w:pPr>
              <w:jc w:val="left"/>
              <w:rPr>
                <w:rFonts w:ascii="楷体" w:hAnsi="楷体" w:eastAsia="楷体" w:cs="楷体"/>
                <w:sz w:val="24"/>
              </w:rPr>
            </w:pPr>
          </w:p>
          <w:p>
            <w:pPr>
              <w:rPr>
                <w:rFonts w:ascii="楷体" w:hAnsi="楷体" w:eastAsia="楷体" w:cs="楷体"/>
                <w:sz w:val="24"/>
              </w:rPr>
            </w:pPr>
          </w:p>
          <w:p>
            <w:pPr>
              <w:ind w:firstLine="5280" w:firstLineChars="2200"/>
              <w:rPr>
                <w:rFonts w:ascii="楷体" w:hAnsi="楷体" w:eastAsia="楷体" w:cs="楷体"/>
                <w:sz w:val="24"/>
              </w:rPr>
            </w:pPr>
            <w:r>
              <w:rPr>
                <w:rFonts w:hint="eastAsia" w:ascii="楷体" w:hAnsi="楷体" w:eastAsia="楷体" w:cs="楷体"/>
                <w:sz w:val="24"/>
              </w:rPr>
              <w:t xml:space="preserve">签字（盖章）：          </w:t>
            </w:r>
          </w:p>
          <w:p>
            <w:pPr>
              <w:ind w:firstLine="6240" w:firstLineChars="2600"/>
              <w:rPr>
                <w:sz w:val="24"/>
                <w:szCs w:val="24"/>
              </w:rPr>
            </w:pPr>
            <w:r>
              <w:rPr>
                <w:rFonts w:hint="eastAsia" w:ascii="楷体" w:hAnsi="楷体" w:eastAsia="楷体" w:cs="楷体"/>
                <w:sz w:val="24"/>
              </w:rPr>
              <w:t xml:space="preserve">   年     月     日</w:t>
            </w:r>
          </w:p>
        </w:tc>
      </w:tr>
    </w:tbl>
    <w:p/>
    <w:sectPr>
      <w:headerReference r:id="rId6" w:type="default"/>
      <w:footerReference r:id="rId7" w:type="default"/>
      <w:pgSz w:w="11906" w:h="16838"/>
      <w:pgMar w:top="567" w:right="1701" w:bottom="567" w:left="1701" w:header="567" w:footer="567"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0002AFF" w:usb1="C000247B" w:usb2="00000009" w:usb3="00000000" w:csb0="200001FF" w:csb1="00000000"/>
  </w:font>
  <w:font w:name="方正小标宋简体">
    <w:altName w:val="Arial Unicode MS"/>
    <w:panose1 w:val="00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 w:name="Verdana">
    <w:panose1 w:val="020B0604030504040204"/>
    <w:charset w:val="00"/>
    <w:family w:val="swiss"/>
    <w:pitch w:val="default"/>
    <w:sig w:usb0="A10006FF" w:usb1="4000205B" w:usb2="00000010" w:usb3="00000000" w:csb0="2000019F" w:csb1="00000000"/>
  </w:font>
  <w:font w:name="&amp;quot">
    <w:altName w:val="Times New Roman"/>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70982397"/>
    </w:sdtPr>
    <w:sdtContent>
      <w:p>
        <w:pPr>
          <w:pStyle w:val="15"/>
          <w:jc w:val="center"/>
        </w:pPr>
        <w:r>
          <w:fldChar w:fldCharType="begin"/>
        </w:r>
        <w:r>
          <w:instrText xml:space="preserve">PAGE   \* MERGEFORMAT</w:instrText>
        </w:r>
        <w:r>
          <w:fldChar w:fldCharType="separate"/>
        </w:r>
        <w:r>
          <w:rPr>
            <w:lang w:val="zh-CN"/>
          </w:rPr>
          <w:t>17</w:t>
        </w:r>
        <w:r>
          <w:rPr>
            <w:lang w:val="zh-CN"/>
          </w:rPr>
          <w:fldChar w:fldCharType="end"/>
        </w:r>
      </w:p>
    </w:sdtContent>
  </w:sdt>
  <w:p>
    <w:pPr>
      <w:pStyle w:val="1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top w:val="single" w:color="FF0000" w:sz="4" w:space="1"/>
      </w:pBdr>
      <w:rPr>
        <w:color w:val="FF0000"/>
      </w:rPr>
    </w:pPr>
    <w:r>
      <w:rPr>
        <w:rFonts w:hint="eastAsia"/>
        <w:color w:val="FF0000"/>
      </w:rPr>
      <w:t>中国·广西·百色·平果电话：0776-2630888邮编：531499</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6875" cy="742950"/>
          <wp:effectExtent l="19050" t="0" r="952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
                  <a:srcRect/>
                  <a:stretch>
                    <a:fillRect/>
                  </a:stretch>
                </pic:blipFill>
                <pic:spPr>
                  <a:xfrm>
                    <a:off x="0" y="0"/>
                    <a:ext cx="5476875" cy="7429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drawing>
        <wp:inline distT="0" distB="0" distL="0" distR="0">
          <wp:extent cx="5474970" cy="74358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5474970" cy="743585"/>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Bdr>
        <w:bottom w:val="single" w:color="FF0000" w:sz="4" w:space="1"/>
      </w:pBdr>
      <w:rPr>
        <w:color w:val="FF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BAADA58"/>
    <w:multiLevelType w:val="singleLevel"/>
    <w:tmpl w:val="DBAADA58"/>
    <w:lvl w:ilvl="0" w:tentative="0">
      <w:start w:val="1"/>
      <w:numFmt w:val="chineseCounting"/>
      <w:suff w:val="nothing"/>
      <w:lvlText w:val="（%1）"/>
      <w:lvlJc w:val="left"/>
      <w:rPr>
        <w:rFonts w:hint="eastAsia"/>
      </w:rPr>
    </w:lvl>
  </w:abstractNum>
  <w:abstractNum w:abstractNumId="1">
    <w:nsid w:val="EE4EA3F2"/>
    <w:multiLevelType w:val="singleLevel"/>
    <w:tmpl w:val="EE4EA3F2"/>
    <w:lvl w:ilvl="0" w:tentative="0">
      <w:start w:val="2"/>
      <w:numFmt w:val="chineseCounting"/>
      <w:suff w:val="nothing"/>
      <w:lvlText w:val="%1、"/>
      <w:lvlJc w:val="left"/>
      <w:rPr>
        <w:rFonts w:hint="eastAsia"/>
      </w:rPr>
    </w:lvl>
  </w:abstractNum>
  <w:abstractNum w:abstractNumId="2">
    <w:nsid w:val="73A37992"/>
    <w:multiLevelType w:val="multilevel"/>
    <w:tmpl w:val="73A37992"/>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0071F"/>
    <w:rsid w:val="00001B05"/>
    <w:rsid w:val="000362C3"/>
    <w:rsid w:val="00047511"/>
    <w:rsid w:val="00051DB3"/>
    <w:rsid w:val="000610E3"/>
    <w:rsid w:val="00062E9A"/>
    <w:rsid w:val="0007035D"/>
    <w:rsid w:val="00075B7F"/>
    <w:rsid w:val="00076E75"/>
    <w:rsid w:val="00077762"/>
    <w:rsid w:val="000A16BC"/>
    <w:rsid w:val="000A30F3"/>
    <w:rsid w:val="000A51D3"/>
    <w:rsid w:val="000A574A"/>
    <w:rsid w:val="000B723F"/>
    <w:rsid w:val="000C4BD9"/>
    <w:rsid w:val="000D030E"/>
    <w:rsid w:val="000D1119"/>
    <w:rsid w:val="000D572B"/>
    <w:rsid w:val="000E17EE"/>
    <w:rsid w:val="000F6013"/>
    <w:rsid w:val="000F6516"/>
    <w:rsid w:val="001030AF"/>
    <w:rsid w:val="00104DE5"/>
    <w:rsid w:val="001100F1"/>
    <w:rsid w:val="001129D3"/>
    <w:rsid w:val="00114687"/>
    <w:rsid w:val="00130D16"/>
    <w:rsid w:val="00131710"/>
    <w:rsid w:val="00141F0D"/>
    <w:rsid w:val="00147F08"/>
    <w:rsid w:val="00161E7C"/>
    <w:rsid w:val="00172A11"/>
    <w:rsid w:val="001A6E21"/>
    <w:rsid w:val="001A7D2D"/>
    <w:rsid w:val="001B1A6D"/>
    <w:rsid w:val="001C0A5E"/>
    <w:rsid w:val="001D0572"/>
    <w:rsid w:val="001D1C94"/>
    <w:rsid w:val="001E7864"/>
    <w:rsid w:val="001F5701"/>
    <w:rsid w:val="00203C2B"/>
    <w:rsid w:val="00206BA8"/>
    <w:rsid w:val="00213934"/>
    <w:rsid w:val="00215B74"/>
    <w:rsid w:val="0022199C"/>
    <w:rsid w:val="00226E5E"/>
    <w:rsid w:val="00233C13"/>
    <w:rsid w:val="00246661"/>
    <w:rsid w:val="00250E87"/>
    <w:rsid w:val="00252396"/>
    <w:rsid w:val="00263C29"/>
    <w:rsid w:val="00276DFB"/>
    <w:rsid w:val="00283C86"/>
    <w:rsid w:val="0029381E"/>
    <w:rsid w:val="002A0F5D"/>
    <w:rsid w:val="002A2AC4"/>
    <w:rsid w:val="002A36E9"/>
    <w:rsid w:val="002B62BB"/>
    <w:rsid w:val="002C06E7"/>
    <w:rsid w:val="002C780C"/>
    <w:rsid w:val="002E05FB"/>
    <w:rsid w:val="002E59C9"/>
    <w:rsid w:val="002F493E"/>
    <w:rsid w:val="002F50EB"/>
    <w:rsid w:val="002F554A"/>
    <w:rsid w:val="003038FE"/>
    <w:rsid w:val="00305DC8"/>
    <w:rsid w:val="00306EB2"/>
    <w:rsid w:val="00310009"/>
    <w:rsid w:val="00314066"/>
    <w:rsid w:val="00320234"/>
    <w:rsid w:val="00321808"/>
    <w:rsid w:val="00324441"/>
    <w:rsid w:val="003301C1"/>
    <w:rsid w:val="00332EC5"/>
    <w:rsid w:val="003338CF"/>
    <w:rsid w:val="003343EC"/>
    <w:rsid w:val="00335233"/>
    <w:rsid w:val="003532BD"/>
    <w:rsid w:val="00356919"/>
    <w:rsid w:val="00357B2F"/>
    <w:rsid w:val="003639D8"/>
    <w:rsid w:val="00365F24"/>
    <w:rsid w:val="00370787"/>
    <w:rsid w:val="0038393B"/>
    <w:rsid w:val="00384909"/>
    <w:rsid w:val="00386A12"/>
    <w:rsid w:val="00391737"/>
    <w:rsid w:val="00397895"/>
    <w:rsid w:val="003A134A"/>
    <w:rsid w:val="003A57ED"/>
    <w:rsid w:val="003A77DC"/>
    <w:rsid w:val="003C4E95"/>
    <w:rsid w:val="003C5532"/>
    <w:rsid w:val="003C6A97"/>
    <w:rsid w:val="003D6B83"/>
    <w:rsid w:val="003E6D1E"/>
    <w:rsid w:val="003E7FA4"/>
    <w:rsid w:val="00413BC4"/>
    <w:rsid w:val="0041448B"/>
    <w:rsid w:val="00415530"/>
    <w:rsid w:val="00423063"/>
    <w:rsid w:val="004259A9"/>
    <w:rsid w:val="00443A09"/>
    <w:rsid w:val="0044738A"/>
    <w:rsid w:val="004622B3"/>
    <w:rsid w:val="004723E9"/>
    <w:rsid w:val="00474A7B"/>
    <w:rsid w:val="004757D7"/>
    <w:rsid w:val="00477065"/>
    <w:rsid w:val="004828A7"/>
    <w:rsid w:val="00490697"/>
    <w:rsid w:val="00490EDD"/>
    <w:rsid w:val="004944ED"/>
    <w:rsid w:val="004B1801"/>
    <w:rsid w:val="004B2402"/>
    <w:rsid w:val="004C7366"/>
    <w:rsid w:val="004E074F"/>
    <w:rsid w:val="004E42F6"/>
    <w:rsid w:val="004F37BC"/>
    <w:rsid w:val="004F5F51"/>
    <w:rsid w:val="004F7F88"/>
    <w:rsid w:val="00502EDC"/>
    <w:rsid w:val="00505114"/>
    <w:rsid w:val="00507432"/>
    <w:rsid w:val="00516312"/>
    <w:rsid w:val="00517D66"/>
    <w:rsid w:val="0052235B"/>
    <w:rsid w:val="00533C70"/>
    <w:rsid w:val="00541D85"/>
    <w:rsid w:val="00542398"/>
    <w:rsid w:val="005439EC"/>
    <w:rsid w:val="00554535"/>
    <w:rsid w:val="00560085"/>
    <w:rsid w:val="0056041C"/>
    <w:rsid w:val="0056560A"/>
    <w:rsid w:val="00566075"/>
    <w:rsid w:val="00572641"/>
    <w:rsid w:val="00586AB4"/>
    <w:rsid w:val="0059024D"/>
    <w:rsid w:val="0059234E"/>
    <w:rsid w:val="005C1104"/>
    <w:rsid w:val="005D5439"/>
    <w:rsid w:val="005E0DCD"/>
    <w:rsid w:val="005E7B25"/>
    <w:rsid w:val="00602BEB"/>
    <w:rsid w:val="0060489F"/>
    <w:rsid w:val="00610953"/>
    <w:rsid w:val="006143A1"/>
    <w:rsid w:val="0061560E"/>
    <w:rsid w:val="006156D1"/>
    <w:rsid w:val="00627F6F"/>
    <w:rsid w:val="0064116E"/>
    <w:rsid w:val="006430EA"/>
    <w:rsid w:val="00663B72"/>
    <w:rsid w:val="00670061"/>
    <w:rsid w:val="006702D3"/>
    <w:rsid w:val="00670ECB"/>
    <w:rsid w:val="00671BDF"/>
    <w:rsid w:val="0067411D"/>
    <w:rsid w:val="00674D5F"/>
    <w:rsid w:val="006758CE"/>
    <w:rsid w:val="00677ACF"/>
    <w:rsid w:val="00682B98"/>
    <w:rsid w:val="006846F9"/>
    <w:rsid w:val="00684FB9"/>
    <w:rsid w:val="0069007F"/>
    <w:rsid w:val="00691BF4"/>
    <w:rsid w:val="00696B0D"/>
    <w:rsid w:val="006A17CE"/>
    <w:rsid w:val="006A1AA7"/>
    <w:rsid w:val="006A3CD3"/>
    <w:rsid w:val="006A7E87"/>
    <w:rsid w:val="006B4C47"/>
    <w:rsid w:val="006C0D4F"/>
    <w:rsid w:val="006C2B90"/>
    <w:rsid w:val="006C3E54"/>
    <w:rsid w:val="006D6FD8"/>
    <w:rsid w:val="006F308E"/>
    <w:rsid w:val="007148CB"/>
    <w:rsid w:val="00721BA3"/>
    <w:rsid w:val="0074250D"/>
    <w:rsid w:val="007575DA"/>
    <w:rsid w:val="00771161"/>
    <w:rsid w:val="00775CE0"/>
    <w:rsid w:val="00777128"/>
    <w:rsid w:val="007830F5"/>
    <w:rsid w:val="00786E26"/>
    <w:rsid w:val="007A1243"/>
    <w:rsid w:val="007A36B1"/>
    <w:rsid w:val="007A55A3"/>
    <w:rsid w:val="007B0734"/>
    <w:rsid w:val="007B594A"/>
    <w:rsid w:val="007C17FF"/>
    <w:rsid w:val="007C2AF8"/>
    <w:rsid w:val="007C3D40"/>
    <w:rsid w:val="007D250F"/>
    <w:rsid w:val="007D43D1"/>
    <w:rsid w:val="007D4AAD"/>
    <w:rsid w:val="007E1BAC"/>
    <w:rsid w:val="007E553E"/>
    <w:rsid w:val="007F19A3"/>
    <w:rsid w:val="0080071F"/>
    <w:rsid w:val="008023DC"/>
    <w:rsid w:val="008043C5"/>
    <w:rsid w:val="00812E8C"/>
    <w:rsid w:val="008256A1"/>
    <w:rsid w:val="008265C3"/>
    <w:rsid w:val="008273F0"/>
    <w:rsid w:val="00827C84"/>
    <w:rsid w:val="00833D63"/>
    <w:rsid w:val="00842C95"/>
    <w:rsid w:val="00844489"/>
    <w:rsid w:val="008476DA"/>
    <w:rsid w:val="00853827"/>
    <w:rsid w:val="0086107A"/>
    <w:rsid w:val="008628A9"/>
    <w:rsid w:val="00870F3D"/>
    <w:rsid w:val="00880025"/>
    <w:rsid w:val="008821FC"/>
    <w:rsid w:val="0088583D"/>
    <w:rsid w:val="00894ACC"/>
    <w:rsid w:val="008A43AA"/>
    <w:rsid w:val="008B59C5"/>
    <w:rsid w:val="008B6A9C"/>
    <w:rsid w:val="008C1D47"/>
    <w:rsid w:val="008C42F8"/>
    <w:rsid w:val="008E4482"/>
    <w:rsid w:val="008F0770"/>
    <w:rsid w:val="008F49AA"/>
    <w:rsid w:val="00905D12"/>
    <w:rsid w:val="00912875"/>
    <w:rsid w:val="00916923"/>
    <w:rsid w:val="00917037"/>
    <w:rsid w:val="0092234C"/>
    <w:rsid w:val="00926642"/>
    <w:rsid w:val="00926B13"/>
    <w:rsid w:val="00936882"/>
    <w:rsid w:val="00937427"/>
    <w:rsid w:val="00942CE0"/>
    <w:rsid w:val="0094392D"/>
    <w:rsid w:val="0095003D"/>
    <w:rsid w:val="00953709"/>
    <w:rsid w:val="00953C42"/>
    <w:rsid w:val="009710C5"/>
    <w:rsid w:val="009723EF"/>
    <w:rsid w:val="00973EDE"/>
    <w:rsid w:val="00980D5D"/>
    <w:rsid w:val="009904F9"/>
    <w:rsid w:val="009908DB"/>
    <w:rsid w:val="00994709"/>
    <w:rsid w:val="009A4DB3"/>
    <w:rsid w:val="009B044A"/>
    <w:rsid w:val="009B494E"/>
    <w:rsid w:val="009B5204"/>
    <w:rsid w:val="009C0E44"/>
    <w:rsid w:val="009D21FF"/>
    <w:rsid w:val="009E50B4"/>
    <w:rsid w:val="009E6C65"/>
    <w:rsid w:val="00A1467F"/>
    <w:rsid w:val="00A16EF6"/>
    <w:rsid w:val="00A31304"/>
    <w:rsid w:val="00A37478"/>
    <w:rsid w:val="00A44391"/>
    <w:rsid w:val="00A47A22"/>
    <w:rsid w:val="00A763FF"/>
    <w:rsid w:val="00A976A1"/>
    <w:rsid w:val="00AA1846"/>
    <w:rsid w:val="00AB526C"/>
    <w:rsid w:val="00AC294E"/>
    <w:rsid w:val="00AC6222"/>
    <w:rsid w:val="00AD1C14"/>
    <w:rsid w:val="00AD25D3"/>
    <w:rsid w:val="00AD5324"/>
    <w:rsid w:val="00AE277D"/>
    <w:rsid w:val="00AE2E1C"/>
    <w:rsid w:val="00AF695E"/>
    <w:rsid w:val="00B03199"/>
    <w:rsid w:val="00B04DB6"/>
    <w:rsid w:val="00B223C1"/>
    <w:rsid w:val="00B238D8"/>
    <w:rsid w:val="00B27437"/>
    <w:rsid w:val="00B27A00"/>
    <w:rsid w:val="00B318E3"/>
    <w:rsid w:val="00B32AA2"/>
    <w:rsid w:val="00B415D9"/>
    <w:rsid w:val="00B42626"/>
    <w:rsid w:val="00B570CB"/>
    <w:rsid w:val="00B630BF"/>
    <w:rsid w:val="00B64155"/>
    <w:rsid w:val="00B65E9B"/>
    <w:rsid w:val="00B703DE"/>
    <w:rsid w:val="00B7140D"/>
    <w:rsid w:val="00B71B37"/>
    <w:rsid w:val="00B772FE"/>
    <w:rsid w:val="00B87ED4"/>
    <w:rsid w:val="00BB1978"/>
    <w:rsid w:val="00BB4A90"/>
    <w:rsid w:val="00BB5535"/>
    <w:rsid w:val="00BC625F"/>
    <w:rsid w:val="00BC6DE7"/>
    <w:rsid w:val="00BE0020"/>
    <w:rsid w:val="00BE5499"/>
    <w:rsid w:val="00BE658B"/>
    <w:rsid w:val="00BF0652"/>
    <w:rsid w:val="00BF2DA8"/>
    <w:rsid w:val="00BF3ED7"/>
    <w:rsid w:val="00C027B4"/>
    <w:rsid w:val="00C04788"/>
    <w:rsid w:val="00C051CD"/>
    <w:rsid w:val="00C130B3"/>
    <w:rsid w:val="00C155D3"/>
    <w:rsid w:val="00C1640C"/>
    <w:rsid w:val="00C21206"/>
    <w:rsid w:val="00C355B4"/>
    <w:rsid w:val="00C42B0F"/>
    <w:rsid w:val="00C43FCB"/>
    <w:rsid w:val="00C45732"/>
    <w:rsid w:val="00C5545C"/>
    <w:rsid w:val="00C620C8"/>
    <w:rsid w:val="00C66FA0"/>
    <w:rsid w:val="00C716B0"/>
    <w:rsid w:val="00C90D55"/>
    <w:rsid w:val="00C92C49"/>
    <w:rsid w:val="00CA3957"/>
    <w:rsid w:val="00CB6EAF"/>
    <w:rsid w:val="00CB792D"/>
    <w:rsid w:val="00CC4691"/>
    <w:rsid w:val="00CD4BF4"/>
    <w:rsid w:val="00CF2833"/>
    <w:rsid w:val="00CF70C1"/>
    <w:rsid w:val="00D00341"/>
    <w:rsid w:val="00D06163"/>
    <w:rsid w:val="00D06D05"/>
    <w:rsid w:val="00D07BFB"/>
    <w:rsid w:val="00D15F14"/>
    <w:rsid w:val="00D22F4E"/>
    <w:rsid w:val="00D47514"/>
    <w:rsid w:val="00D53D30"/>
    <w:rsid w:val="00D55623"/>
    <w:rsid w:val="00D76176"/>
    <w:rsid w:val="00D85A62"/>
    <w:rsid w:val="00D87C52"/>
    <w:rsid w:val="00DA3235"/>
    <w:rsid w:val="00DA3E60"/>
    <w:rsid w:val="00DA6DFE"/>
    <w:rsid w:val="00DB0180"/>
    <w:rsid w:val="00DB132E"/>
    <w:rsid w:val="00DB2DB1"/>
    <w:rsid w:val="00DB3744"/>
    <w:rsid w:val="00DB4983"/>
    <w:rsid w:val="00DB4D23"/>
    <w:rsid w:val="00DC6E1B"/>
    <w:rsid w:val="00DE1A09"/>
    <w:rsid w:val="00DE24B5"/>
    <w:rsid w:val="00DE4347"/>
    <w:rsid w:val="00DE43E8"/>
    <w:rsid w:val="00DE57C5"/>
    <w:rsid w:val="00DF1276"/>
    <w:rsid w:val="00DF1B0C"/>
    <w:rsid w:val="00DF2657"/>
    <w:rsid w:val="00DF4387"/>
    <w:rsid w:val="00DF5B7E"/>
    <w:rsid w:val="00E0164D"/>
    <w:rsid w:val="00E01F57"/>
    <w:rsid w:val="00E05294"/>
    <w:rsid w:val="00E10989"/>
    <w:rsid w:val="00E2331E"/>
    <w:rsid w:val="00E24BD0"/>
    <w:rsid w:val="00E3278B"/>
    <w:rsid w:val="00E3482B"/>
    <w:rsid w:val="00E36316"/>
    <w:rsid w:val="00E3697A"/>
    <w:rsid w:val="00E41C66"/>
    <w:rsid w:val="00E51021"/>
    <w:rsid w:val="00E54693"/>
    <w:rsid w:val="00E54747"/>
    <w:rsid w:val="00E77669"/>
    <w:rsid w:val="00E85A04"/>
    <w:rsid w:val="00E86C2E"/>
    <w:rsid w:val="00E87A26"/>
    <w:rsid w:val="00E910C9"/>
    <w:rsid w:val="00EA7BF7"/>
    <w:rsid w:val="00EB0EAB"/>
    <w:rsid w:val="00EB4074"/>
    <w:rsid w:val="00EC5407"/>
    <w:rsid w:val="00EE2977"/>
    <w:rsid w:val="00EE490E"/>
    <w:rsid w:val="00EE4AF4"/>
    <w:rsid w:val="00EF5D58"/>
    <w:rsid w:val="00F00403"/>
    <w:rsid w:val="00F06C7F"/>
    <w:rsid w:val="00F17B2F"/>
    <w:rsid w:val="00F235AC"/>
    <w:rsid w:val="00F25EB5"/>
    <w:rsid w:val="00F417DD"/>
    <w:rsid w:val="00F433CB"/>
    <w:rsid w:val="00F44667"/>
    <w:rsid w:val="00F44B7A"/>
    <w:rsid w:val="00F46DC2"/>
    <w:rsid w:val="00F50C71"/>
    <w:rsid w:val="00F63FB8"/>
    <w:rsid w:val="00F74081"/>
    <w:rsid w:val="00F75C44"/>
    <w:rsid w:val="00F7634C"/>
    <w:rsid w:val="00F8064C"/>
    <w:rsid w:val="00F873E6"/>
    <w:rsid w:val="00F938A2"/>
    <w:rsid w:val="00F97CC0"/>
    <w:rsid w:val="00F97EBB"/>
    <w:rsid w:val="00FA3C03"/>
    <w:rsid w:val="00FB1806"/>
    <w:rsid w:val="00FB1809"/>
    <w:rsid w:val="00FB42BB"/>
    <w:rsid w:val="00FC1F97"/>
    <w:rsid w:val="00FC4A01"/>
    <w:rsid w:val="00FC7436"/>
    <w:rsid w:val="00FD1207"/>
    <w:rsid w:val="00FD3E3A"/>
    <w:rsid w:val="00FE10F2"/>
    <w:rsid w:val="00FE1585"/>
    <w:rsid w:val="047D4496"/>
    <w:rsid w:val="070B3B83"/>
    <w:rsid w:val="0D0C6BB7"/>
    <w:rsid w:val="0D156325"/>
    <w:rsid w:val="0EA27065"/>
    <w:rsid w:val="168E7785"/>
    <w:rsid w:val="18A6582F"/>
    <w:rsid w:val="1B8F0106"/>
    <w:rsid w:val="28202B5D"/>
    <w:rsid w:val="2A3C6962"/>
    <w:rsid w:val="2B773544"/>
    <w:rsid w:val="2F0D0A74"/>
    <w:rsid w:val="346E3CE4"/>
    <w:rsid w:val="47185603"/>
    <w:rsid w:val="490E7C03"/>
    <w:rsid w:val="4DB50902"/>
    <w:rsid w:val="550920E7"/>
    <w:rsid w:val="58C052CB"/>
    <w:rsid w:val="6145414E"/>
    <w:rsid w:val="66465B04"/>
    <w:rsid w:val="6D7F0428"/>
    <w:rsid w:val="6DE07684"/>
    <w:rsid w:val="73FD0651"/>
    <w:rsid w:val="78DD63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7"/>
    <w:qFormat/>
    <w:uiPriority w:val="0"/>
    <w:pPr>
      <w:keepNext/>
      <w:keepLines/>
      <w:widowControl/>
      <w:spacing w:beforeLines="150" w:afterLines="150" w:line="360" w:lineRule="exact"/>
      <w:jc w:val="center"/>
      <w:outlineLvl w:val="0"/>
    </w:pPr>
    <w:rPr>
      <w:rFonts w:ascii="宋体" w:hAnsi="宋体" w:eastAsia="黑体" w:cs="Times New Roman"/>
      <w:bCs/>
      <w:color w:val="000000"/>
      <w:kern w:val="0"/>
      <w:sz w:val="44"/>
      <w:szCs w:val="28"/>
    </w:rPr>
  </w:style>
  <w:style w:type="paragraph" w:styleId="3">
    <w:name w:val="heading 2"/>
    <w:basedOn w:val="1"/>
    <w:next w:val="1"/>
    <w:link w:val="38"/>
    <w:qFormat/>
    <w:uiPriority w:val="0"/>
    <w:pPr>
      <w:keepNext/>
      <w:keepLines/>
      <w:widowControl/>
      <w:spacing w:line="360" w:lineRule="auto"/>
      <w:ind w:left="422"/>
      <w:jc w:val="left"/>
      <w:outlineLvl w:val="1"/>
    </w:pPr>
    <w:rPr>
      <w:rFonts w:ascii="宋体" w:hAnsi="宋体" w:eastAsia="宋体" w:cs="Times New Roman"/>
      <w:b/>
      <w:bCs/>
      <w:color w:val="000000"/>
      <w:kern w:val="0"/>
      <w:sz w:val="20"/>
      <w:szCs w:val="21"/>
    </w:rPr>
  </w:style>
  <w:style w:type="paragraph" w:styleId="4">
    <w:name w:val="heading 3"/>
    <w:basedOn w:val="1"/>
    <w:next w:val="1"/>
    <w:link w:val="39"/>
    <w:qFormat/>
    <w:uiPriority w:val="0"/>
    <w:pPr>
      <w:keepNext/>
      <w:keepLines/>
      <w:widowControl/>
      <w:spacing w:line="360" w:lineRule="atLeast"/>
      <w:ind w:firstLine="420" w:firstLineChars="200"/>
      <w:jc w:val="left"/>
      <w:outlineLvl w:val="2"/>
    </w:pPr>
    <w:rPr>
      <w:rFonts w:ascii="Times New Roman" w:hAnsi="Times New Roman" w:eastAsia="黑体" w:cs="Times New Roman"/>
      <w:bCs/>
      <w:color w:val="000000"/>
      <w:kern w:val="0"/>
      <w:sz w:val="20"/>
      <w:szCs w:val="32"/>
    </w:rPr>
  </w:style>
  <w:style w:type="character" w:default="1" w:styleId="28">
    <w:name w:val="Default Paragraph Font"/>
    <w:semiHidden/>
    <w:unhideWhenUsed/>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67"/>
    <w:qFormat/>
    <w:uiPriority w:val="0"/>
    <w:pPr>
      <w:shd w:val="clear" w:color="auto" w:fill="000080"/>
    </w:pPr>
    <w:rPr>
      <w:szCs w:val="24"/>
    </w:rPr>
  </w:style>
  <w:style w:type="paragraph" w:styleId="6">
    <w:name w:val="annotation text"/>
    <w:basedOn w:val="1"/>
    <w:link w:val="76"/>
    <w:qFormat/>
    <w:uiPriority w:val="0"/>
    <w:pPr>
      <w:jc w:val="left"/>
    </w:pPr>
    <w:rPr>
      <w:szCs w:val="24"/>
    </w:rPr>
  </w:style>
  <w:style w:type="paragraph" w:styleId="7">
    <w:name w:val="Body Text"/>
    <w:basedOn w:val="1"/>
    <w:link w:val="55"/>
    <w:qFormat/>
    <w:uiPriority w:val="0"/>
    <w:pPr>
      <w:spacing w:line="400" w:lineRule="exact"/>
    </w:pPr>
    <w:rPr>
      <w:rFonts w:ascii="宋体" w:hAnsi="宋体"/>
      <w:color w:val="000000"/>
      <w:sz w:val="18"/>
      <w:szCs w:val="18"/>
    </w:rPr>
  </w:style>
  <w:style w:type="paragraph" w:styleId="8">
    <w:name w:val="Body Text Indent"/>
    <w:basedOn w:val="1"/>
    <w:link w:val="69"/>
    <w:qFormat/>
    <w:uiPriority w:val="0"/>
    <w:pPr>
      <w:ind w:firstLine="560" w:firstLineChars="200"/>
    </w:pPr>
    <w:rPr>
      <w:rFonts w:ascii="仿宋_GB2312" w:hAnsi="宋体" w:eastAsia="仿宋_GB2312"/>
      <w:sz w:val="28"/>
      <w:szCs w:val="28"/>
    </w:rPr>
  </w:style>
  <w:style w:type="paragraph" w:styleId="9">
    <w:name w:val="Block Text"/>
    <w:basedOn w:val="1"/>
    <w:qFormat/>
    <w:uiPriority w:val="0"/>
    <w:pPr>
      <w:widowControl/>
      <w:tabs>
        <w:tab w:val="left" w:pos="578"/>
      </w:tabs>
      <w:spacing w:line="360" w:lineRule="auto"/>
      <w:ind w:left="120" w:leftChars="50" w:right="120" w:rightChars="50" w:firstLine="480" w:firstLineChars="200"/>
      <w:jc w:val="left"/>
    </w:pPr>
    <w:rPr>
      <w:rFonts w:ascii="Times New Roman" w:hAnsi="Times New Roman" w:eastAsia="宋体" w:cs="Times New Roman"/>
      <w:kern w:val="0"/>
      <w:sz w:val="24"/>
      <w:szCs w:val="28"/>
    </w:rPr>
  </w:style>
  <w:style w:type="paragraph" w:styleId="10">
    <w:name w:val="toc 3"/>
    <w:basedOn w:val="1"/>
    <w:next w:val="1"/>
    <w:qFormat/>
    <w:uiPriority w:val="39"/>
    <w:pPr>
      <w:ind w:left="840" w:leftChars="400"/>
    </w:pPr>
    <w:rPr>
      <w:rFonts w:ascii="Times New Roman" w:hAnsi="Times New Roman" w:eastAsia="宋体" w:cs="Times New Roman"/>
      <w:szCs w:val="24"/>
    </w:rPr>
  </w:style>
  <w:style w:type="paragraph" w:styleId="11">
    <w:name w:val="Plain Text"/>
    <w:basedOn w:val="1"/>
    <w:link w:val="75"/>
    <w:qFormat/>
    <w:uiPriority w:val="0"/>
    <w:pPr>
      <w:widowControl/>
      <w:spacing w:before="100" w:beforeAutospacing="1" w:after="100" w:afterAutospacing="1"/>
      <w:jc w:val="left"/>
    </w:pPr>
    <w:rPr>
      <w:rFonts w:ascii="宋体" w:hAnsi="宋体"/>
      <w:sz w:val="24"/>
      <w:szCs w:val="24"/>
    </w:rPr>
  </w:style>
  <w:style w:type="paragraph" w:styleId="12">
    <w:name w:val="Date"/>
    <w:basedOn w:val="1"/>
    <w:next w:val="1"/>
    <w:link w:val="78"/>
    <w:qFormat/>
    <w:uiPriority w:val="0"/>
    <w:rPr>
      <w:szCs w:val="24"/>
    </w:rPr>
  </w:style>
  <w:style w:type="paragraph" w:styleId="13">
    <w:name w:val="Body Text Indent 2"/>
    <w:basedOn w:val="1"/>
    <w:link w:val="70"/>
    <w:qFormat/>
    <w:uiPriority w:val="0"/>
    <w:pPr>
      <w:widowControl/>
      <w:spacing w:line="360" w:lineRule="auto"/>
      <w:ind w:firstLine="480" w:firstLineChars="200"/>
      <w:jc w:val="left"/>
    </w:pPr>
    <w:rPr>
      <w:sz w:val="24"/>
      <w:szCs w:val="24"/>
    </w:rPr>
  </w:style>
  <w:style w:type="paragraph" w:styleId="14">
    <w:name w:val="Balloon Text"/>
    <w:basedOn w:val="1"/>
    <w:link w:val="36"/>
    <w:unhideWhenUsed/>
    <w:qFormat/>
    <w:uiPriority w:val="0"/>
    <w:rPr>
      <w:sz w:val="18"/>
      <w:szCs w:val="18"/>
    </w:rPr>
  </w:style>
  <w:style w:type="paragraph" w:styleId="15">
    <w:name w:val="footer"/>
    <w:basedOn w:val="1"/>
    <w:link w:val="35"/>
    <w:unhideWhenUsed/>
    <w:qFormat/>
    <w:uiPriority w:val="99"/>
    <w:pPr>
      <w:tabs>
        <w:tab w:val="center" w:pos="4153"/>
        <w:tab w:val="right" w:pos="8306"/>
      </w:tabs>
      <w:snapToGrid w:val="0"/>
      <w:jc w:val="left"/>
    </w:pPr>
    <w:rPr>
      <w:sz w:val="18"/>
      <w:szCs w:val="18"/>
    </w:rPr>
  </w:style>
  <w:style w:type="paragraph" w:styleId="16">
    <w:name w:val="header"/>
    <w:basedOn w:val="1"/>
    <w:link w:val="34"/>
    <w:unhideWhenUsed/>
    <w:qFormat/>
    <w:uiPriority w:val="0"/>
    <w:pPr>
      <w:pBdr>
        <w:bottom w:val="single" w:color="auto" w:sz="6" w:space="1"/>
      </w:pBdr>
      <w:tabs>
        <w:tab w:val="center" w:pos="4153"/>
        <w:tab w:val="right" w:pos="8306"/>
      </w:tabs>
      <w:snapToGrid w:val="0"/>
      <w:jc w:val="center"/>
    </w:pPr>
    <w:rPr>
      <w:sz w:val="18"/>
      <w:szCs w:val="18"/>
    </w:rPr>
  </w:style>
  <w:style w:type="paragraph" w:styleId="17">
    <w:name w:val="toc 1"/>
    <w:basedOn w:val="1"/>
    <w:next w:val="1"/>
    <w:qFormat/>
    <w:uiPriority w:val="39"/>
    <w:pPr>
      <w:tabs>
        <w:tab w:val="right" w:leader="dot" w:pos="9060"/>
      </w:tabs>
      <w:jc w:val="center"/>
    </w:pPr>
    <w:rPr>
      <w:rFonts w:ascii="黑体" w:hAnsi="黑体" w:eastAsia="黑体" w:cs="Times New Roman"/>
      <w:sz w:val="52"/>
      <w:szCs w:val="52"/>
    </w:rPr>
  </w:style>
  <w:style w:type="paragraph" w:styleId="18">
    <w:name w:val="Subtitle"/>
    <w:basedOn w:val="1"/>
    <w:next w:val="1"/>
    <w:link w:val="79"/>
    <w:qFormat/>
    <w:uiPriority w:val="11"/>
    <w:pPr>
      <w:widowControl/>
      <w:spacing w:after="200" w:line="276" w:lineRule="auto"/>
      <w:jc w:val="left"/>
    </w:pPr>
    <w:rPr>
      <w:rFonts w:ascii="Cambria" w:hAnsi="Cambria"/>
      <w:i/>
      <w:iCs/>
      <w:color w:val="4F81BD"/>
      <w:spacing w:val="15"/>
      <w:sz w:val="24"/>
      <w:szCs w:val="24"/>
    </w:rPr>
  </w:style>
  <w:style w:type="paragraph" w:styleId="19">
    <w:name w:val="Body Text Indent 3"/>
    <w:basedOn w:val="1"/>
    <w:link w:val="72"/>
    <w:qFormat/>
    <w:uiPriority w:val="0"/>
    <w:pPr>
      <w:ind w:firstLine="560" w:firstLineChars="200"/>
    </w:pPr>
    <w:rPr>
      <w:rFonts w:ascii="仿宋_GB2312" w:hAnsi="宋体" w:eastAsia="仿宋_GB2312"/>
      <w:color w:val="000000"/>
      <w:sz w:val="28"/>
      <w:szCs w:val="28"/>
    </w:rPr>
  </w:style>
  <w:style w:type="paragraph" w:styleId="20">
    <w:name w:val="toc 2"/>
    <w:basedOn w:val="1"/>
    <w:next w:val="1"/>
    <w:qFormat/>
    <w:uiPriority w:val="39"/>
    <w:pPr>
      <w:ind w:left="420" w:leftChars="200"/>
    </w:pPr>
    <w:rPr>
      <w:rFonts w:ascii="Times New Roman" w:hAnsi="Times New Roman" w:eastAsia="宋体" w:cs="Times New Roman"/>
      <w:szCs w:val="24"/>
    </w:rPr>
  </w:style>
  <w:style w:type="paragraph" w:styleId="21">
    <w:name w:val="Body Text 2"/>
    <w:basedOn w:val="1"/>
    <w:link w:val="77"/>
    <w:qFormat/>
    <w:uiPriority w:val="0"/>
    <w:rPr>
      <w:sz w:val="24"/>
    </w:rPr>
  </w:style>
  <w:style w:type="paragraph" w:styleId="22">
    <w:name w:val="HTML Preformatted"/>
    <w:basedOn w:val="1"/>
    <w:link w:val="66"/>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szCs w:val="24"/>
    </w:rPr>
  </w:style>
  <w:style w:type="paragraph" w:styleId="23">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24">
    <w:name w:val="Title"/>
    <w:basedOn w:val="1"/>
    <w:next w:val="1"/>
    <w:link w:val="81"/>
    <w:qFormat/>
    <w:uiPriority w:val="10"/>
    <w:pPr>
      <w:widowControl/>
      <w:pBdr>
        <w:bottom w:val="single" w:color="4F81BD" w:sz="8" w:space="4"/>
      </w:pBdr>
      <w:spacing w:after="300" w:line="360" w:lineRule="exact"/>
      <w:contextualSpacing/>
      <w:jc w:val="left"/>
    </w:pPr>
    <w:rPr>
      <w:rFonts w:ascii="Cambria" w:hAnsi="Cambria"/>
      <w:color w:val="17365D"/>
      <w:spacing w:val="5"/>
      <w:kern w:val="28"/>
      <w:sz w:val="52"/>
      <w:szCs w:val="52"/>
    </w:rPr>
  </w:style>
  <w:style w:type="paragraph" w:styleId="25">
    <w:name w:val="annotation subject"/>
    <w:basedOn w:val="6"/>
    <w:next w:val="6"/>
    <w:link w:val="42"/>
    <w:unhideWhenUsed/>
    <w:qFormat/>
    <w:uiPriority w:val="0"/>
    <w:rPr>
      <w:rFonts w:ascii="Calibri" w:hAnsi="Calibri"/>
      <w:b/>
      <w:bCs/>
    </w:rPr>
  </w:style>
  <w:style w:type="table" w:styleId="27">
    <w:name w:val="Table Grid"/>
    <w:basedOn w:val="26"/>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0"/>
    <w:rPr>
      <w:rFonts w:cs="Times New Roman"/>
      <w:b/>
      <w:bCs/>
    </w:rPr>
  </w:style>
  <w:style w:type="character" w:styleId="30">
    <w:name w:val="page number"/>
    <w:qFormat/>
    <w:uiPriority w:val="0"/>
  </w:style>
  <w:style w:type="character" w:styleId="31">
    <w:name w:val="FollowedHyperlink"/>
    <w:basedOn w:val="28"/>
    <w:semiHidden/>
    <w:unhideWhenUsed/>
    <w:qFormat/>
    <w:uiPriority w:val="99"/>
    <w:rPr>
      <w:color w:val="954F72" w:themeColor="followedHyperlink"/>
      <w:u w:val="single"/>
    </w:rPr>
  </w:style>
  <w:style w:type="character" w:styleId="32">
    <w:name w:val="Hyperlink"/>
    <w:basedOn w:val="28"/>
    <w:unhideWhenUsed/>
    <w:qFormat/>
    <w:uiPriority w:val="99"/>
    <w:rPr>
      <w:color w:val="0563C1" w:themeColor="hyperlink"/>
      <w:u w:val="single"/>
    </w:rPr>
  </w:style>
  <w:style w:type="character" w:styleId="33">
    <w:name w:val="annotation reference"/>
    <w:uiPriority w:val="0"/>
    <w:rPr>
      <w:rFonts w:cs="Times New Roman"/>
      <w:sz w:val="21"/>
      <w:szCs w:val="21"/>
    </w:rPr>
  </w:style>
  <w:style w:type="character" w:customStyle="1" w:styleId="34">
    <w:name w:val="页眉 Char"/>
    <w:basedOn w:val="28"/>
    <w:link w:val="16"/>
    <w:uiPriority w:val="0"/>
    <w:rPr>
      <w:sz w:val="18"/>
      <w:szCs w:val="18"/>
    </w:rPr>
  </w:style>
  <w:style w:type="character" w:customStyle="1" w:styleId="35">
    <w:name w:val="页脚 Char"/>
    <w:basedOn w:val="28"/>
    <w:link w:val="15"/>
    <w:uiPriority w:val="99"/>
    <w:rPr>
      <w:sz w:val="18"/>
      <w:szCs w:val="18"/>
    </w:rPr>
  </w:style>
  <w:style w:type="character" w:customStyle="1" w:styleId="36">
    <w:name w:val="批注框文本 Char"/>
    <w:basedOn w:val="28"/>
    <w:link w:val="14"/>
    <w:uiPriority w:val="0"/>
    <w:rPr>
      <w:sz w:val="18"/>
      <w:szCs w:val="18"/>
    </w:rPr>
  </w:style>
  <w:style w:type="character" w:customStyle="1" w:styleId="37">
    <w:name w:val="标题 1 Char"/>
    <w:basedOn w:val="28"/>
    <w:link w:val="2"/>
    <w:uiPriority w:val="0"/>
    <w:rPr>
      <w:rFonts w:ascii="宋体" w:hAnsi="宋体" w:eastAsia="黑体" w:cs="Times New Roman"/>
      <w:bCs/>
      <w:color w:val="000000"/>
      <w:kern w:val="0"/>
      <w:sz w:val="44"/>
      <w:szCs w:val="28"/>
    </w:rPr>
  </w:style>
  <w:style w:type="character" w:customStyle="1" w:styleId="38">
    <w:name w:val="标题 2 Char"/>
    <w:basedOn w:val="28"/>
    <w:link w:val="3"/>
    <w:uiPriority w:val="0"/>
    <w:rPr>
      <w:rFonts w:ascii="宋体" w:hAnsi="宋体" w:eastAsia="宋体" w:cs="Times New Roman"/>
      <w:b/>
      <w:bCs/>
      <w:color w:val="000000"/>
      <w:kern w:val="0"/>
      <w:sz w:val="20"/>
      <w:szCs w:val="21"/>
    </w:rPr>
  </w:style>
  <w:style w:type="character" w:customStyle="1" w:styleId="39">
    <w:name w:val="标题 3 Char"/>
    <w:basedOn w:val="28"/>
    <w:link w:val="4"/>
    <w:uiPriority w:val="0"/>
    <w:rPr>
      <w:rFonts w:ascii="Times New Roman" w:hAnsi="Times New Roman" w:eastAsia="黑体" w:cs="Times New Roman"/>
      <w:bCs/>
      <w:color w:val="000000"/>
      <w:kern w:val="0"/>
      <w:sz w:val="20"/>
      <w:szCs w:val="32"/>
    </w:rPr>
  </w:style>
  <w:style w:type="character" w:customStyle="1" w:styleId="40">
    <w:name w:val="Char Char1"/>
    <w:uiPriority w:val="0"/>
    <w:rPr>
      <w:rFonts w:eastAsia="宋体"/>
      <w:kern w:val="2"/>
      <w:sz w:val="24"/>
      <w:szCs w:val="24"/>
      <w:lang w:val="en-US" w:eastAsia="zh-CN" w:bidi="ar-SA"/>
    </w:rPr>
  </w:style>
  <w:style w:type="character" w:customStyle="1" w:styleId="41">
    <w:name w:val="页脚 Char1"/>
    <w:uiPriority w:val="0"/>
    <w:rPr>
      <w:kern w:val="2"/>
      <w:sz w:val="18"/>
      <w:szCs w:val="18"/>
    </w:rPr>
  </w:style>
  <w:style w:type="character" w:customStyle="1" w:styleId="42">
    <w:name w:val="批注主题 Char"/>
    <w:link w:val="25"/>
    <w:uiPriority w:val="0"/>
    <w:rPr>
      <w:rFonts w:ascii="Calibri" w:hAnsi="Calibri"/>
      <w:b/>
      <w:bCs/>
      <w:szCs w:val="24"/>
    </w:rPr>
  </w:style>
  <w:style w:type="character" w:customStyle="1" w:styleId="43">
    <w:name w:val="wenben1"/>
    <w:uiPriority w:val="0"/>
    <w:rPr>
      <w:color w:val="333333"/>
      <w:spacing w:val="330"/>
      <w:sz w:val="21"/>
      <w:szCs w:val="21"/>
    </w:rPr>
  </w:style>
  <w:style w:type="character" w:customStyle="1" w:styleId="44">
    <w:name w:val="链接"/>
    <w:uiPriority w:val="0"/>
    <w:rPr>
      <w:rFonts w:ascii="Times New Roman" w:eastAsia="宋体"/>
      <w:color w:val="0000FF"/>
      <w:sz w:val="21"/>
      <w:u w:val="single" w:color="0000FF"/>
      <w:vertAlign w:val="baseline"/>
      <w:lang w:val="en-US" w:eastAsia="zh-CN"/>
    </w:rPr>
  </w:style>
  <w:style w:type="character" w:customStyle="1" w:styleId="45">
    <w:name w:val="正文文本 Char1"/>
    <w:uiPriority w:val="0"/>
    <w:rPr>
      <w:kern w:val="2"/>
      <w:sz w:val="21"/>
      <w:szCs w:val="24"/>
    </w:rPr>
  </w:style>
  <w:style w:type="character" w:customStyle="1" w:styleId="46">
    <w:name w:val="页眉 Char1"/>
    <w:uiPriority w:val="0"/>
    <w:rPr>
      <w:kern w:val="2"/>
      <w:sz w:val="18"/>
      <w:szCs w:val="18"/>
    </w:rPr>
  </w:style>
  <w:style w:type="character" w:customStyle="1" w:styleId="47">
    <w:name w:val="副标题 Char1"/>
    <w:uiPriority w:val="0"/>
    <w:rPr>
      <w:rFonts w:ascii="Cambria" w:hAnsi="Cambria" w:cs="Times New Roman"/>
      <w:b/>
      <w:bCs/>
      <w:kern w:val="28"/>
      <w:sz w:val="32"/>
      <w:szCs w:val="32"/>
    </w:rPr>
  </w:style>
  <w:style w:type="character" w:customStyle="1" w:styleId="48">
    <w:name w:val="Char Char"/>
    <w:uiPriority w:val="0"/>
    <w:rPr>
      <w:rFonts w:eastAsia="宋体"/>
      <w:sz w:val="24"/>
      <w:szCs w:val="24"/>
      <w:lang w:val="en-US" w:eastAsia="zh-CN" w:bidi="ar-SA"/>
    </w:rPr>
  </w:style>
  <w:style w:type="character" w:customStyle="1" w:styleId="49">
    <w:name w:val="批注文字 Char"/>
    <w:uiPriority w:val="0"/>
    <w:rPr>
      <w:rFonts w:ascii="Times New Roman" w:hAnsi="Times New Roman" w:eastAsia="宋体" w:cs="Times New Roman"/>
      <w:szCs w:val="24"/>
    </w:rPr>
  </w:style>
  <w:style w:type="paragraph" w:customStyle="1" w:styleId="50">
    <w:name w:val="_Style 26"/>
    <w:unhideWhenUsed/>
    <w:uiPriority w:val="99"/>
    <w:pPr>
      <w:widowControl w:val="0"/>
      <w:jc w:val="both"/>
    </w:pPr>
    <w:rPr>
      <w:rFonts w:asciiTheme="minorHAnsi" w:hAnsiTheme="minorHAnsi" w:eastAsiaTheme="minorEastAsia" w:cstheme="minorBidi"/>
      <w:kern w:val="2"/>
      <w:sz w:val="21"/>
      <w:szCs w:val="22"/>
      <w:lang w:val="en-US" w:eastAsia="zh-CN" w:bidi="ar-SA"/>
    </w:rPr>
  </w:style>
  <w:style w:type="character" w:customStyle="1" w:styleId="51">
    <w:name w:val="批注主题 Char1"/>
    <w:uiPriority w:val="0"/>
    <w:rPr>
      <w:b/>
      <w:bCs/>
      <w:kern w:val="2"/>
      <w:sz w:val="21"/>
      <w:szCs w:val="24"/>
    </w:rPr>
  </w:style>
  <w:style w:type="character" w:customStyle="1" w:styleId="52">
    <w:name w:val="正文文本缩进 Char1"/>
    <w:uiPriority w:val="0"/>
    <w:rPr>
      <w:kern w:val="2"/>
      <w:sz w:val="21"/>
      <w:szCs w:val="24"/>
    </w:rPr>
  </w:style>
  <w:style w:type="character" w:customStyle="1" w:styleId="53">
    <w:name w:val="日期 Char1"/>
    <w:uiPriority w:val="0"/>
    <w:rPr>
      <w:kern w:val="2"/>
      <w:sz w:val="21"/>
      <w:szCs w:val="24"/>
    </w:rPr>
  </w:style>
  <w:style w:type="character" w:customStyle="1" w:styleId="54">
    <w:name w:val="纯文本 Char1"/>
    <w:uiPriority w:val="0"/>
    <w:rPr>
      <w:rFonts w:ascii="宋体" w:hAnsi="Courier New" w:cs="Courier New"/>
      <w:kern w:val="2"/>
      <w:sz w:val="21"/>
      <w:szCs w:val="21"/>
    </w:rPr>
  </w:style>
  <w:style w:type="character" w:customStyle="1" w:styleId="55">
    <w:name w:val="正文文本 Char"/>
    <w:link w:val="7"/>
    <w:uiPriority w:val="0"/>
    <w:rPr>
      <w:rFonts w:ascii="宋体" w:hAnsi="宋体"/>
      <w:color w:val="000000"/>
      <w:sz w:val="18"/>
      <w:szCs w:val="18"/>
    </w:rPr>
  </w:style>
  <w:style w:type="character" w:customStyle="1" w:styleId="56">
    <w:name w:val="lemmatitleh11"/>
    <w:uiPriority w:val="0"/>
  </w:style>
  <w:style w:type="character" w:customStyle="1" w:styleId="57">
    <w:name w:val="文档结构图 Char1"/>
    <w:uiPriority w:val="0"/>
    <w:rPr>
      <w:rFonts w:ascii="宋体"/>
      <w:kern w:val="2"/>
      <w:sz w:val="18"/>
      <w:szCs w:val="18"/>
    </w:rPr>
  </w:style>
  <w:style w:type="character" w:customStyle="1" w:styleId="58">
    <w:name w:val="批注框文本 Char1"/>
    <w:uiPriority w:val="0"/>
    <w:rPr>
      <w:kern w:val="2"/>
      <w:sz w:val="18"/>
      <w:szCs w:val="18"/>
    </w:rPr>
  </w:style>
  <w:style w:type="character" w:customStyle="1" w:styleId="59">
    <w:name w:val="正文文本 2 Char1"/>
    <w:uiPriority w:val="0"/>
    <w:rPr>
      <w:kern w:val="2"/>
      <w:sz w:val="21"/>
      <w:szCs w:val="24"/>
    </w:rPr>
  </w:style>
  <w:style w:type="character" w:customStyle="1" w:styleId="60">
    <w:name w:val="black1"/>
    <w:uiPriority w:val="0"/>
    <w:rPr>
      <w:color w:val="000000"/>
    </w:rPr>
  </w:style>
  <w:style w:type="character" w:customStyle="1" w:styleId="61">
    <w:name w:val="正文文本缩进 3 Char1"/>
    <w:uiPriority w:val="0"/>
    <w:rPr>
      <w:kern w:val="2"/>
      <w:sz w:val="16"/>
      <w:szCs w:val="16"/>
    </w:rPr>
  </w:style>
  <w:style w:type="character" w:customStyle="1" w:styleId="62">
    <w:name w:val="正文文本缩进 2 Char1"/>
    <w:uiPriority w:val="0"/>
    <w:rPr>
      <w:kern w:val="2"/>
      <w:sz w:val="21"/>
      <w:szCs w:val="24"/>
    </w:rPr>
  </w:style>
  <w:style w:type="character" w:customStyle="1" w:styleId="63">
    <w:name w:val="批注文字 Char1"/>
    <w:uiPriority w:val="0"/>
    <w:rPr>
      <w:kern w:val="2"/>
      <w:sz w:val="21"/>
      <w:szCs w:val="24"/>
    </w:rPr>
  </w:style>
  <w:style w:type="character" w:customStyle="1" w:styleId="64">
    <w:name w:val="无间隔 Char"/>
    <w:link w:val="65"/>
    <w:qFormat/>
    <w:uiPriority w:val="1"/>
    <w:rPr>
      <w:sz w:val="22"/>
    </w:rPr>
  </w:style>
  <w:style w:type="paragraph" w:styleId="65">
    <w:name w:val="No Spacing"/>
    <w:link w:val="64"/>
    <w:qFormat/>
    <w:uiPriority w:val="1"/>
    <w:pPr>
      <w:spacing w:line="360" w:lineRule="exact"/>
    </w:pPr>
    <w:rPr>
      <w:rFonts w:asciiTheme="minorHAnsi" w:hAnsiTheme="minorHAnsi" w:eastAsiaTheme="minorEastAsia" w:cstheme="minorBidi"/>
      <w:kern w:val="2"/>
      <w:sz w:val="22"/>
      <w:szCs w:val="22"/>
      <w:lang w:val="en-US" w:eastAsia="zh-CN" w:bidi="ar-SA"/>
    </w:rPr>
  </w:style>
  <w:style w:type="character" w:customStyle="1" w:styleId="66">
    <w:name w:val="HTML 预设格式 Char"/>
    <w:link w:val="22"/>
    <w:uiPriority w:val="99"/>
    <w:rPr>
      <w:rFonts w:ascii="宋体" w:hAnsi="宋体" w:cs="宋体"/>
      <w:sz w:val="24"/>
      <w:szCs w:val="24"/>
    </w:rPr>
  </w:style>
  <w:style w:type="character" w:customStyle="1" w:styleId="67">
    <w:name w:val="文档结构图 Char"/>
    <w:link w:val="5"/>
    <w:uiPriority w:val="0"/>
    <w:rPr>
      <w:szCs w:val="24"/>
      <w:shd w:val="clear" w:color="auto" w:fill="000080"/>
    </w:rPr>
  </w:style>
  <w:style w:type="character" w:customStyle="1" w:styleId="68">
    <w:name w:val="Char Char11"/>
    <w:uiPriority w:val="0"/>
    <w:rPr>
      <w:rFonts w:eastAsia="宋体"/>
      <w:kern w:val="2"/>
      <w:sz w:val="24"/>
      <w:szCs w:val="24"/>
      <w:lang w:val="en-US" w:eastAsia="zh-CN" w:bidi="ar-SA"/>
    </w:rPr>
  </w:style>
  <w:style w:type="character" w:customStyle="1" w:styleId="69">
    <w:name w:val="正文文本缩进 Char"/>
    <w:link w:val="8"/>
    <w:uiPriority w:val="0"/>
    <w:rPr>
      <w:rFonts w:ascii="仿宋_GB2312" w:hAnsi="宋体" w:eastAsia="仿宋_GB2312"/>
      <w:sz w:val="28"/>
      <w:szCs w:val="28"/>
    </w:rPr>
  </w:style>
  <w:style w:type="character" w:customStyle="1" w:styleId="70">
    <w:name w:val="正文文本缩进 2 Char"/>
    <w:link w:val="13"/>
    <w:uiPriority w:val="0"/>
    <w:rPr>
      <w:sz w:val="24"/>
      <w:szCs w:val="24"/>
    </w:rPr>
  </w:style>
  <w:style w:type="character" w:customStyle="1" w:styleId="71">
    <w:name w:val="标题 Char1"/>
    <w:uiPriority w:val="0"/>
    <w:rPr>
      <w:rFonts w:ascii="Cambria" w:hAnsi="Cambria" w:cs="Times New Roman"/>
      <w:b/>
      <w:bCs/>
      <w:kern w:val="2"/>
      <w:sz w:val="32"/>
      <w:szCs w:val="32"/>
    </w:rPr>
  </w:style>
  <w:style w:type="character" w:customStyle="1" w:styleId="72">
    <w:name w:val="正文文本缩进 3 Char"/>
    <w:link w:val="19"/>
    <w:uiPriority w:val="0"/>
    <w:rPr>
      <w:rFonts w:ascii="仿宋_GB2312" w:hAnsi="宋体" w:eastAsia="仿宋_GB2312"/>
      <w:color w:val="000000"/>
      <w:sz w:val="28"/>
      <w:szCs w:val="28"/>
    </w:rPr>
  </w:style>
  <w:style w:type="character" w:customStyle="1" w:styleId="73">
    <w:name w:val="超级链接"/>
    <w:uiPriority w:val="0"/>
    <w:rPr>
      <w:rFonts w:ascii="Times New Roman" w:eastAsia="宋体"/>
      <w:color w:val="0000FF"/>
      <w:sz w:val="21"/>
      <w:u w:val="single" w:color="0000FF"/>
      <w:vertAlign w:val="baseline"/>
      <w:lang w:val="en-US" w:eastAsia="zh-CN"/>
    </w:rPr>
  </w:style>
  <w:style w:type="character" w:customStyle="1" w:styleId="74">
    <w:name w:val="apple-converted-space"/>
    <w:uiPriority w:val="0"/>
  </w:style>
  <w:style w:type="character" w:customStyle="1" w:styleId="75">
    <w:name w:val="纯文本 Char"/>
    <w:link w:val="11"/>
    <w:uiPriority w:val="0"/>
    <w:rPr>
      <w:rFonts w:ascii="宋体" w:hAnsi="宋体"/>
      <w:sz w:val="24"/>
      <w:szCs w:val="24"/>
    </w:rPr>
  </w:style>
  <w:style w:type="character" w:customStyle="1" w:styleId="76">
    <w:name w:val="批注文字 Char2"/>
    <w:link w:val="6"/>
    <w:uiPriority w:val="0"/>
    <w:rPr>
      <w:szCs w:val="24"/>
    </w:rPr>
  </w:style>
  <w:style w:type="character" w:customStyle="1" w:styleId="77">
    <w:name w:val="正文文本 2 Char"/>
    <w:link w:val="21"/>
    <w:uiPriority w:val="0"/>
    <w:rPr>
      <w:sz w:val="24"/>
    </w:rPr>
  </w:style>
  <w:style w:type="character" w:customStyle="1" w:styleId="78">
    <w:name w:val="日期 Char"/>
    <w:link w:val="12"/>
    <w:uiPriority w:val="0"/>
    <w:rPr>
      <w:szCs w:val="24"/>
    </w:rPr>
  </w:style>
  <w:style w:type="character" w:customStyle="1" w:styleId="79">
    <w:name w:val="副标题 Char"/>
    <w:link w:val="18"/>
    <w:uiPriority w:val="11"/>
    <w:rPr>
      <w:rFonts w:ascii="Cambria" w:hAnsi="Cambria"/>
      <w:i/>
      <w:iCs/>
      <w:color w:val="4F81BD"/>
      <w:spacing w:val="15"/>
      <w:sz w:val="24"/>
      <w:szCs w:val="24"/>
    </w:rPr>
  </w:style>
  <w:style w:type="character" w:customStyle="1" w:styleId="80">
    <w:name w:val="Char Char2"/>
    <w:uiPriority w:val="0"/>
    <w:rPr>
      <w:rFonts w:eastAsia="宋体"/>
      <w:sz w:val="24"/>
      <w:szCs w:val="24"/>
      <w:lang w:val="en-US" w:eastAsia="zh-CN" w:bidi="ar-SA"/>
    </w:rPr>
  </w:style>
  <w:style w:type="character" w:customStyle="1" w:styleId="81">
    <w:name w:val="标题 Char"/>
    <w:link w:val="24"/>
    <w:uiPriority w:val="10"/>
    <w:rPr>
      <w:rFonts w:ascii="Cambria" w:hAnsi="Cambria"/>
      <w:color w:val="17365D"/>
      <w:spacing w:val="5"/>
      <w:kern w:val="28"/>
      <w:sz w:val="52"/>
      <w:szCs w:val="52"/>
    </w:rPr>
  </w:style>
  <w:style w:type="paragraph" w:customStyle="1" w:styleId="82">
    <w:name w:val="目录2"/>
    <w:basedOn w:val="1"/>
    <w:uiPriority w:val="0"/>
    <w:pPr>
      <w:widowControl/>
      <w:tabs>
        <w:tab w:val="left" w:leader="dot" w:pos="7370"/>
      </w:tabs>
      <w:spacing w:line="317" w:lineRule="atLeast"/>
      <w:ind w:firstLine="209"/>
      <w:textAlignment w:val="baseline"/>
    </w:pPr>
    <w:rPr>
      <w:rFonts w:ascii="Times New Roman" w:hAnsi="Times New Roman" w:eastAsia="宋体" w:cs="Times New Roman"/>
      <w:color w:val="000000"/>
      <w:kern w:val="0"/>
      <w:szCs w:val="20"/>
      <w:u w:color="000000"/>
    </w:rPr>
  </w:style>
  <w:style w:type="character" w:customStyle="1" w:styleId="83">
    <w:name w:val="正文文本缩进 2 Char2"/>
    <w:basedOn w:val="28"/>
    <w:semiHidden/>
    <w:uiPriority w:val="99"/>
  </w:style>
  <w:style w:type="character" w:customStyle="1" w:styleId="84">
    <w:name w:val="正文文本缩进 Char2"/>
    <w:basedOn w:val="28"/>
    <w:semiHidden/>
    <w:uiPriority w:val="99"/>
  </w:style>
  <w:style w:type="paragraph" w:customStyle="1" w:styleId="85">
    <w:name w:val="列出段落1"/>
    <w:basedOn w:val="1"/>
    <w:qFormat/>
    <w:uiPriority w:val="0"/>
    <w:pPr>
      <w:widowControl/>
      <w:spacing w:line="360" w:lineRule="exact"/>
      <w:ind w:firstLine="420" w:firstLineChars="200"/>
      <w:jc w:val="left"/>
    </w:pPr>
    <w:rPr>
      <w:rFonts w:ascii="Times New Roman" w:hAnsi="Times New Roman" w:eastAsia="宋体" w:cs="Times New Roman"/>
      <w:szCs w:val="24"/>
    </w:rPr>
  </w:style>
  <w:style w:type="paragraph" w:customStyle="1" w:styleId="86">
    <w:name w:val="文章总标题"/>
    <w:basedOn w:val="1"/>
    <w:uiPriority w:val="0"/>
    <w:pPr>
      <w:widowControl/>
      <w:spacing w:before="566" w:after="544" w:line="566" w:lineRule="atLeast"/>
      <w:jc w:val="center"/>
      <w:textAlignment w:val="baseline"/>
    </w:pPr>
    <w:rPr>
      <w:rFonts w:ascii="Arial" w:hAnsi="Times New Roman" w:eastAsia="黑体" w:cs="Times New Roman"/>
      <w:color w:val="000000"/>
      <w:kern w:val="0"/>
      <w:sz w:val="54"/>
      <w:szCs w:val="20"/>
      <w:u w:color="000000"/>
    </w:rPr>
  </w:style>
  <w:style w:type="paragraph" w:customStyle="1" w:styleId="87">
    <w:name w:val="目录3"/>
    <w:basedOn w:val="1"/>
    <w:uiPriority w:val="0"/>
    <w:pPr>
      <w:widowControl/>
      <w:tabs>
        <w:tab w:val="left" w:leader="dot" w:pos="7370"/>
      </w:tabs>
      <w:spacing w:line="317" w:lineRule="atLeast"/>
      <w:ind w:firstLine="419"/>
      <w:textAlignment w:val="baseline"/>
    </w:pPr>
    <w:rPr>
      <w:rFonts w:ascii="Times New Roman" w:hAnsi="Times New Roman" w:eastAsia="宋体" w:cs="Times New Roman"/>
      <w:color w:val="000000"/>
      <w:kern w:val="0"/>
      <w:szCs w:val="20"/>
      <w:u w:color="000000"/>
    </w:rPr>
  </w:style>
  <w:style w:type="character" w:customStyle="1" w:styleId="88">
    <w:name w:val="日期 Char2"/>
    <w:basedOn w:val="28"/>
    <w:semiHidden/>
    <w:uiPriority w:val="99"/>
  </w:style>
  <w:style w:type="paragraph" w:customStyle="1" w:styleId="89">
    <w:name w:val="Char Char Char"/>
    <w:basedOn w:val="1"/>
    <w:uiPriority w:val="0"/>
    <w:pPr>
      <w:spacing w:line="360" w:lineRule="auto"/>
      <w:jc w:val="left"/>
    </w:pPr>
    <w:rPr>
      <w:rFonts w:ascii="Times New Roman" w:hAnsi="Times New Roman" w:eastAsia="宋体" w:cs="Times New Roman"/>
      <w:szCs w:val="24"/>
    </w:rPr>
  </w:style>
  <w:style w:type="character" w:customStyle="1" w:styleId="90">
    <w:name w:val="正文文本 Char2"/>
    <w:basedOn w:val="28"/>
    <w:semiHidden/>
    <w:uiPriority w:val="99"/>
  </w:style>
  <w:style w:type="paragraph" w:customStyle="1" w:styleId="91">
    <w:name w:val="Char Char1 Char"/>
    <w:basedOn w:val="2"/>
    <w:uiPriority w:val="0"/>
    <w:pPr>
      <w:widowControl w:val="0"/>
      <w:snapToGrid w:val="0"/>
      <w:spacing w:beforeLines="0" w:afterLines="0" w:line="348" w:lineRule="auto"/>
      <w:jc w:val="both"/>
    </w:pPr>
    <w:rPr>
      <w:rFonts w:ascii="Tahoma" w:hAnsi="Tahoma" w:eastAsia="宋体"/>
      <w:b/>
      <w:bCs w:val="0"/>
      <w:color w:val="auto"/>
      <w:kern w:val="2"/>
      <w:sz w:val="24"/>
      <w:szCs w:val="20"/>
    </w:rPr>
  </w:style>
  <w:style w:type="paragraph" w:customStyle="1" w:styleId="92">
    <w:name w:val="章标题"/>
    <w:basedOn w:val="1"/>
    <w:qFormat/>
    <w:uiPriority w:val="0"/>
    <w:pPr>
      <w:widowControl/>
      <w:spacing w:before="158" w:after="153" w:line="323" w:lineRule="atLeast"/>
      <w:jc w:val="center"/>
      <w:textAlignment w:val="baseline"/>
    </w:pPr>
    <w:rPr>
      <w:rFonts w:ascii="Arial" w:hAnsi="Times New Roman" w:eastAsia="黑体" w:cs="Times New Roman"/>
      <w:color w:val="000000"/>
      <w:kern w:val="0"/>
      <w:sz w:val="31"/>
      <w:szCs w:val="20"/>
      <w:u w:color="000000"/>
    </w:rPr>
  </w:style>
  <w:style w:type="character" w:customStyle="1" w:styleId="93">
    <w:name w:val="文档结构图 Char2"/>
    <w:basedOn w:val="28"/>
    <w:semiHidden/>
    <w:uiPriority w:val="99"/>
    <w:rPr>
      <w:rFonts w:ascii="宋体" w:eastAsia="宋体"/>
      <w:sz w:val="18"/>
      <w:szCs w:val="18"/>
    </w:rPr>
  </w:style>
  <w:style w:type="character" w:customStyle="1" w:styleId="94">
    <w:name w:val="正文文本缩进 3 Char2"/>
    <w:basedOn w:val="28"/>
    <w:semiHidden/>
    <w:uiPriority w:val="99"/>
    <w:rPr>
      <w:sz w:val="16"/>
      <w:szCs w:val="16"/>
    </w:rPr>
  </w:style>
  <w:style w:type="paragraph" w:customStyle="1" w:styleId="95">
    <w:name w:val="样式 仿宋_GB2312 四号 行距: 多倍行距 1.25 字行"/>
    <w:basedOn w:val="1"/>
    <w:uiPriority w:val="0"/>
    <w:pPr>
      <w:spacing w:line="300" w:lineRule="auto"/>
      <w:ind w:firstLine="560" w:firstLineChars="200"/>
    </w:pPr>
    <w:rPr>
      <w:rFonts w:ascii="仿宋_GB2312" w:hAnsi="Times New Roman" w:eastAsia="仿宋_GB2312" w:cs="宋体"/>
      <w:sz w:val="28"/>
      <w:szCs w:val="20"/>
    </w:rPr>
  </w:style>
  <w:style w:type="paragraph" w:customStyle="1" w:styleId="96">
    <w:name w:val="目录1"/>
    <w:basedOn w:val="1"/>
    <w:uiPriority w:val="0"/>
    <w:pPr>
      <w:widowControl/>
      <w:tabs>
        <w:tab w:val="left" w:leader="dot" w:pos="8503"/>
      </w:tabs>
      <w:spacing w:after="136" w:line="289" w:lineRule="atLeast"/>
      <w:jc w:val="left"/>
      <w:textAlignment w:val="baseline"/>
    </w:pPr>
    <w:rPr>
      <w:rFonts w:ascii="Arial" w:hAnsi="Times New Roman" w:eastAsia="黑体" w:cs="Times New Roman"/>
      <w:color w:val="000000"/>
      <w:kern w:val="0"/>
      <w:sz w:val="28"/>
      <w:szCs w:val="20"/>
      <w:u w:color="000000"/>
    </w:rPr>
  </w:style>
  <w:style w:type="paragraph" w:customStyle="1" w:styleId="97">
    <w:name w:val="1"/>
    <w:basedOn w:val="1"/>
    <w:next w:val="21"/>
    <w:uiPriority w:val="0"/>
    <w:pPr>
      <w:adjustRightInd w:val="0"/>
      <w:snapToGrid w:val="0"/>
      <w:jc w:val="center"/>
    </w:pPr>
    <w:rPr>
      <w:rFonts w:ascii="Times New Roman" w:hAnsi="Times New Roman" w:eastAsia="宋体" w:cs="Times New Roman"/>
      <w:szCs w:val="24"/>
    </w:rPr>
  </w:style>
  <w:style w:type="character" w:customStyle="1" w:styleId="98">
    <w:name w:val="正文文本 2 Char2"/>
    <w:basedOn w:val="28"/>
    <w:semiHidden/>
    <w:qFormat/>
    <w:uiPriority w:val="99"/>
  </w:style>
  <w:style w:type="paragraph" w:customStyle="1" w:styleId="99">
    <w:name w:val="样式1"/>
    <w:basedOn w:val="1"/>
    <w:uiPriority w:val="0"/>
    <w:rPr>
      <w:rFonts w:ascii="Times New Roman" w:hAnsi="Times New Roman" w:eastAsia="宋体" w:cs="Times New Roman"/>
      <w:szCs w:val="24"/>
    </w:rPr>
  </w:style>
  <w:style w:type="character" w:customStyle="1" w:styleId="100">
    <w:name w:val="批注文字 Char3"/>
    <w:basedOn w:val="28"/>
    <w:semiHidden/>
    <w:uiPriority w:val="99"/>
  </w:style>
  <w:style w:type="character" w:customStyle="1" w:styleId="101">
    <w:name w:val="HTML 预设格式 Char1"/>
    <w:basedOn w:val="28"/>
    <w:semiHidden/>
    <w:uiPriority w:val="99"/>
    <w:rPr>
      <w:rFonts w:ascii="Courier New" w:hAnsi="Courier New" w:cs="Courier New"/>
      <w:sz w:val="20"/>
      <w:szCs w:val="20"/>
    </w:rPr>
  </w:style>
  <w:style w:type="character" w:customStyle="1" w:styleId="102">
    <w:name w:val="副标题 Char2"/>
    <w:basedOn w:val="28"/>
    <w:uiPriority w:val="11"/>
    <w:rPr>
      <w:rFonts w:eastAsia="宋体" w:asciiTheme="majorHAnsi" w:hAnsiTheme="majorHAnsi" w:cstheme="majorBidi"/>
      <w:b/>
      <w:bCs/>
      <w:kern w:val="28"/>
      <w:sz w:val="32"/>
      <w:szCs w:val="32"/>
    </w:rPr>
  </w:style>
  <w:style w:type="paragraph" w:customStyle="1" w:styleId="103">
    <w:name w:val="Char Char Char1"/>
    <w:basedOn w:val="1"/>
    <w:uiPriority w:val="0"/>
    <w:pPr>
      <w:spacing w:line="360" w:lineRule="auto"/>
      <w:jc w:val="left"/>
    </w:pPr>
    <w:rPr>
      <w:rFonts w:ascii="Times New Roman" w:hAnsi="Times New Roman" w:eastAsia="宋体" w:cs="Times New Roman"/>
      <w:szCs w:val="24"/>
    </w:rPr>
  </w:style>
  <w:style w:type="paragraph" w:customStyle="1" w:styleId="104">
    <w:name w:val="SF小标题"/>
    <w:basedOn w:val="1"/>
    <w:qFormat/>
    <w:uiPriority w:val="0"/>
    <w:pPr>
      <w:widowControl/>
      <w:spacing w:line="540" w:lineRule="exact"/>
      <w:ind w:firstLine="600" w:firstLineChars="200"/>
      <w:jc w:val="left"/>
    </w:pPr>
    <w:rPr>
      <w:rFonts w:ascii="仿宋_GB2312" w:hAnsi="Times New Roman" w:eastAsia="仿宋_GB2312" w:cs="宋体"/>
      <w:kern w:val="0"/>
      <w:sz w:val="30"/>
      <w:szCs w:val="30"/>
      <w:lang w:val="zh-CN"/>
    </w:rPr>
  </w:style>
  <w:style w:type="character" w:customStyle="1" w:styleId="105">
    <w:name w:val="批注主题 Char2"/>
    <w:basedOn w:val="100"/>
    <w:semiHidden/>
    <w:uiPriority w:val="99"/>
    <w:rPr>
      <w:b/>
      <w:bCs/>
    </w:rPr>
  </w:style>
  <w:style w:type="paragraph" w:customStyle="1" w:styleId="106">
    <w:name w:val="xl24"/>
    <w:basedOn w:val="1"/>
    <w:uiPriority w:val="0"/>
    <w:pPr>
      <w:widowControl/>
      <w:spacing w:before="100" w:beforeAutospacing="1" w:after="100" w:afterAutospacing="1"/>
      <w:jc w:val="center"/>
      <w:textAlignment w:val="center"/>
    </w:pPr>
    <w:rPr>
      <w:rFonts w:ascii="宋体" w:hAnsi="宋体" w:eastAsia="宋体" w:cs="Times New Roman"/>
      <w:kern w:val="0"/>
      <w:sz w:val="22"/>
    </w:rPr>
  </w:style>
  <w:style w:type="paragraph" w:customStyle="1" w:styleId="107">
    <w:name w:val="目录标题"/>
    <w:basedOn w:val="1"/>
    <w:qFormat/>
    <w:uiPriority w:val="0"/>
    <w:pPr>
      <w:widowControl/>
      <w:spacing w:before="566" w:after="544" w:line="566" w:lineRule="atLeast"/>
      <w:ind w:firstLine="419"/>
      <w:jc w:val="center"/>
      <w:textAlignment w:val="baseline"/>
    </w:pPr>
    <w:rPr>
      <w:rFonts w:ascii="Arial" w:hAnsi="Times New Roman" w:eastAsia="黑体" w:cs="Times New Roman"/>
      <w:color w:val="000000"/>
      <w:spacing w:val="566"/>
      <w:kern w:val="0"/>
      <w:sz w:val="54"/>
      <w:szCs w:val="20"/>
      <w:u w:color="000000"/>
    </w:rPr>
  </w:style>
  <w:style w:type="paragraph" w:customStyle="1" w:styleId="108">
    <w:name w:val="Char Char1 Char1"/>
    <w:basedOn w:val="2"/>
    <w:qFormat/>
    <w:uiPriority w:val="0"/>
    <w:pPr>
      <w:widowControl w:val="0"/>
      <w:snapToGrid w:val="0"/>
      <w:spacing w:beforeLines="0" w:afterLines="0" w:line="348" w:lineRule="auto"/>
      <w:jc w:val="both"/>
    </w:pPr>
    <w:rPr>
      <w:rFonts w:ascii="Tahoma" w:hAnsi="Tahoma" w:eastAsia="宋体"/>
      <w:b/>
      <w:bCs w:val="0"/>
      <w:color w:val="auto"/>
      <w:kern w:val="2"/>
      <w:sz w:val="24"/>
      <w:szCs w:val="20"/>
    </w:rPr>
  </w:style>
  <w:style w:type="character" w:customStyle="1" w:styleId="109">
    <w:name w:val="标题 Char2"/>
    <w:basedOn w:val="28"/>
    <w:uiPriority w:val="10"/>
    <w:rPr>
      <w:rFonts w:eastAsia="宋体" w:asciiTheme="majorHAnsi" w:hAnsiTheme="majorHAnsi" w:cstheme="majorBidi"/>
      <w:b/>
      <w:bCs/>
      <w:sz w:val="32"/>
      <w:szCs w:val="32"/>
    </w:rPr>
  </w:style>
  <w:style w:type="character" w:customStyle="1" w:styleId="110">
    <w:name w:val="纯文本 Char2"/>
    <w:basedOn w:val="28"/>
    <w:semiHidden/>
    <w:uiPriority w:val="99"/>
    <w:rPr>
      <w:rFonts w:ascii="宋体" w:hAnsi="Courier New" w:eastAsia="宋体" w:cs="Courier New"/>
      <w:szCs w:val="21"/>
    </w:rPr>
  </w:style>
  <w:style w:type="paragraph" w:customStyle="1" w:styleId="111">
    <w:name w:val="马"/>
    <w:basedOn w:val="1"/>
    <w:qFormat/>
    <w:uiPriority w:val="0"/>
    <w:pPr>
      <w:spacing w:line="320" w:lineRule="atLeast"/>
      <w:jc w:val="center"/>
    </w:pPr>
    <w:rPr>
      <w:rFonts w:ascii="Times New Roman" w:hAnsi="Times New Roman" w:eastAsia="宋体" w:cs="Times New Roman"/>
      <w:b/>
      <w:bCs/>
      <w:sz w:val="30"/>
      <w:szCs w:val="24"/>
    </w:rPr>
  </w:style>
  <w:style w:type="paragraph" w:customStyle="1" w:styleId="112">
    <w:name w:val="Char Char Char Char"/>
    <w:basedOn w:val="1"/>
    <w:qFormat/>
    <w:uiPriority w:val="0"/>
    <w:rPr>
      <w:rFonts w:ascii="Tahoma" w:hAnsi="Tahoma" w:eastAsia="宋体" w:cs="Times New Roman"/>
      <w:sz w:val="24"/>
      <w:szCs w:val="20"/>
    </w:rPr>
  </w:style>
  <w:style w:type="paragraph" w:customStyle="1" w:styleId="113">
    <w:name w:val="目录4"/>
    <w:basedOn w:val="1"/>
    <w:uiPriority w:val="0"/>
    <w:pPr>
      <w:widowControl/>
      <w:tabs>
        <w:tab w:val="left" w:leader="dot" w:pos="7370"/>
      </w:tabs>
      <w:spacing w:line="317" w:lineRule="atLeast"/>
      <w:ind w:firstLine="629"/>
      <w:textAlignment w:val="baseline"/>
    </w:pPr>
    <w:rPr>
      <w:rFonts w:ascii="Times New Roman" w:hAnsi="Times New Roman" w:eastAsia="宋体" w:cs="Times New Roman"/>
      <w:color w:val="000000"/>
      <w:kern w:val="0"/>
      <w:szCs w:val="20"/>
      <w:u w:color="000000"/>
    </w:rPr>
  </w:style>
  <w:style w:type="paragraph" w:customStyle="1" w:styleId="114">
    <w:name w:val="标题5"/>
    <w:basedOn w:val="1"/>
    <w:uiPriority w:val="0"/>
    <w:pPr>
      <w:autoSpaceDE w:val="0"/>
      <w:autoSpaceDN w:val="0"/>
      <w:adjustRightInd w:val="0"/>
      <w:spacing w:line="310" w:lineRule="atLeast"/>
      <w:ind w:firstLine="425"/>
    </w:pPr>
    <w:rPr>
      <w:rFonts w:ascii="Arial" w:hAnsi="Arial" w:eastAsia="宋体" w:cs="Arial"/>
      <w:kern w:val="0"/>
      <w:szCs w:val="21"/>
    </w:rPr>
  </w:style>
  <w:style w:type="paragraph" w:customStyle="1" w:styleId="115">
    <w:name w:val="Char Char Char Char1"/>
    <w:basedOn w:val="1"/>
    <w:qFormat/>
    <w:uiPriority w:val="0"/>
    <w:rPr>
      <w:rFonts w:ascii="Tahoma" w:hAnsi="Tahoma" w:eastAsia="宋体" w:cs="Times New Roman"/>
      <w:sz w:val="24"/>
      <w:szCs w:val="20"/>
    </w:rPr>
  </w:style>
  <w:style w:type="paragraph" w:customStyle="1" w:styleId="116">
    <w:name w:val="_Style 49"/>
    <w:next w:val="1"/>
    <w:unhideWhenUsed/>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17">
    <w:name w:val="ma"/>
    <w:basedOn w:val="1"/>
    <w:uiPriority w:val="0"/>
    <w:pPr>
      <w:spacing w:beforeLines="50" w:afterLines="50" w:line="320" w:lineRule="atLeast"/>
      <w:jc w:val="center"/>
    </w:pPr>
    <w:rPr>
      <w:rFonts w:ascii="Times New Roman" w:hAnsi="Times New Roman" w:eastAsia="宋体" w:cs="Times New Roman"/>
      <w:b/>
      <w:bCs/>
      <w:sz w:val="30"/>
      <w:szCs w:val="24"/>
    </w:rPr>
  </w:style>
  <w:style w:type="paragraph" w:customStyle="1" w:styleId="118">
    <w:name w:val="文章附标题"/>
    <w:basedOn w:val="1"/>
    <w:uiPriority w:val="0"/>
    <w:pPr>
      <w:widowControl/>
      <w:spacing w:before="187" w:after="175" w:line="374" w:lineRule="atLeast"/>
      <w:jc w:val="center"/>
      <w:textAlignment w:val="baseline"/>
    </w:pPr>
    <w:rPr>
      <w:rFonts w:ascii="Times New Roman" w:hAnsi="Times New Roman" w:eastAsia="宋体" w:cs="Times New Roman"/>
      <w:color w:val="000000"/>
      <w:kern w:val="0"/>
      <w:sz w:val="36"/>
      <w:szCs w:val="20"/>
      <w:u w:color="000000"/>
    </w:rPr>
  </w:style>
  <w:style w:type="paragraph" w:customStyle="1" w:styleId="119">
    <w:name w:val="2"/>
    <w:basedOn w:val="1"/>
    <w:next w:val="11"/>
    <w:uiPriority w:val="0"/>
    <w:rPr>
      <w:rFonts w:ascii="宋体" w:hAnsi="Courier New" w:eastAsia="宋体" w:cs="Times New Roman"/>
      <w:szCs w:val="20"/>
    </w:rPr>
  </w:style>
  <w:style w:type="paragraph" w:styleId="120">
    <w:name w:val="List Paragraph"/>
    <w:basedOn w:val="1"/>
    <w:qFormat/>
    <w:uiPriority w:val="34"/>
    <w:pPr>
      <w:widowControl/>
      <w:spacing w:line="360" w:lineRule="exact"/>
      <w:ind w:firstLine="420" w:firstLineChars="200"/>
      <w:jc w:val="left"/>
    </w:pPr>
    <w:rPr>
      <w:rFonts w:ascii="Times New Roman" w:hAnsi="Times New Roman" w:eastAsia="宋体" w:cs="Times New Roman"/>
      <w:szCs w:val="24"/>
    </w:rPr>
  </w:style>
  <w:style w:type="paragraph" w:customStyle="1" w:styleId="121">
    <w:name w:val="小节标题"/>
    <w:basedOn w:val="1"/>
    <w:qFormat/>
    <w:uiPriority w:val="0"/>
    <w:pPr>
      <w:widowControl/>
      <w:spacing w:before="175" w:after="102" w:line="351" w:lineRule="atLeast"/>
      <w:textAlignment w:val="baseline"/>
    </w:pPr>
    <w:rPr>
      <w:rFonts w:ascii="Times New Roman" w:hAnsi="Times New Roman" w:eastAsia="黑体" w:cs="Times New Roman"/>
      <w:color w:val="000000"/>
      <w:kern w:val="0"/>
      <w:szCs w:val="20"/>
      <w:u w:color="000000"/>
    </w:rPr>
  </w:style>
  <w:style w:type="paragraph" w:customStyle="1" w:styleId="122">
    <w:name w:val="节标题"/>
    <w:basedOn w:val="1"/>
    <w:qFormat/>
    <w:uiPriority w:val="0"/>
    <w:pPr>
      <w:widowControl/>
      <w:spacing w:line="289" w:lineRule="atLeast"/>
      <w:jc w:val="center"/>
      <w:textAlignment w:val="baseline"/>
    </w:pPr>
    <w:rPr>
      <w:rFonts w:ascii="Times New Roman" w:hAnsi="Times New Roman" w:eastAsia="宋体" w:cs="Times New Roman"/>
      <w:color w:val="000000"/>
      <w:kern w:val="0"/>
      <w:sz w:val="28"/>
      <w:szCs w:val="20"/>
      <w:u w:color="000000"/>
    </w:rPr>
  </w:style>
  <w:style w:type="paragraph" w:customStyle="1" w:styleId="123">
    <w:name w:val="默认段落字体 Para Char"/>
    <w:basedOn w:val="1"/>
    <w:uiPriority w:val="0"/>
    <w:pPr>
      <w:spacing w:beforeLines="50" w:afterLines="50"/>
      <w:jc w:val="left"/>
    </w:pPr>
    <w:rPr>
      <w:rFonts w:ascii="Times New Roman" w:hAnsi="Times New Roman" w:eastAsia="宋体" w:cs="Times New Roman"/>
      <w:sz w:val="30"/>
      <w:szCs w:val="32"/>
    </w:rPr>
  </w:style>
  <w:style w:type="character" w:customStyle="1" w:styleId="124">
    <w:name w:val="Char Char5"/>
    <w:qFormat/>
    <w:uiPriority w:val="0"/>
    <w:rPr>
      <w:rFonts w:ascii="仿宋_GB2312" w:hAnsi="宋体" w:eastAsia="仿宋_GB2312"/>
      <w:color w:val="000000"/>
      <w:sz w:val="28"/>
      <w:szCs w:val="28"/>
      <w:lang w:bidi="ar-SA"/>
    </w:rPr>
  </w:style>
  <w:style w:type="table" w:customStyle="1" w:styleId="125">
    <w:name w:val="网格型1"/>
    <w:basedOn w:val="26"/>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BA81CBB-C879-4E34-AF1B-8B02A52CC23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26</Pages>
  <Words>3271</Words>
  <Characters>18651</Characters>
  <Lines>155</Lines>
  <Paragraphs>43</Paragraphs>
  <TotalTime>0</TotalTime>
  <ScaleCrop>false</ScaleCrop>
  <LinksUpToDate>false</LinksUpToDate>
  <CharactersWithSpaces>21879</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2017-06-11T01:19:00Z</dcterms:created>
  <dc:creator>China</dc:creator>
  <cp:lastModifiedBy>PX</cp:lastModifiedBy>
  <cp:lastPrinted>2019-08-27T12:54:00Z</cp:lastPrinted>
  <dcterms:modified xsi:type="dcterms:W3CDTF">2019-08-29T03:19:20Z</dcterms:modified>
  <cp:revision>381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